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00FC" w14:textId="2338EE10" w:rsidR="00387587" w:rsidRPr="00252218" w:rsidRDefault="00387587" w:rsidP="00357C59">
      <w:pPr>
        <w:jc w:val="center"/>
        <w:rPr>
          <w:rFonts w:ascii="Marianne" w:hAnsi="Marianne"/>
          <w:b/>
          <w:sz w:val="28"/>
          <w:u w:val="single"/>
        </w:rPr>
      </w:pPr>
      <w:r w:rsidRPr="00252218">
        <w:rPr>
          <w:rFonts w:ascii="Marianne" w:hAnsi="Marianne"/>
          <w:b/>
          <w:sz w:val="28"/>
          <w:u w:val="single"/>
        </w:rPr>
        <w:t>Envoi des éléments du volet joueur aux joueurs mobilisés pour l’exercice de crise</w:t>
      </w:r>
    </w:p>
    <w:p w14:paraId="62EB0E85" w14:textId="77777777" w:rsidR="00387587" w:rsidRPr="00387587" w:rsidRDefault="00387587" w:rsidP="00387587">
      <w:pPr>
        <w:rPr>
          <w:rFonts w:ascii="Marianne" w:hAnsi="Marianne"/>
        </w:rPr>
      </w:pPr>
    </w:p>
    <w:p w14:paraId="33CEAB4F" w14:textId="5C2F1E8D" w:rsidR="00387587" w:rsidRPr="00387587" w:rsidRDefault="00387587" w:rsidP="00387587">
      <w:pPr>
        <w:jc w:val="both"/>
        <w:rPr>
          <w:rFonts w:ascii="Marianne" w:hAnsi="Marianne"/>
        </w:rPr>
      </w:pPr>
      <w:r w:rsidRPr="00387587">
        <w:rPr>
          <w:rFonts w:ascii="Marianne" w:hAnsi="Marianne"/>
        </w:rPr>
        <w:t xml:space="preserve">Bonjour à tous, </w:t>
      </w:r>
    </w:p>
    <w:p w14:paraId="1A8ED34A" w14:textId="77777777" w:rsidR="00387587" w:rsidRPr="00387587" w:rsidRDefault="00387587" w:rsidP="00387587">
      <w:pPr>
        <w:jc w:val="both"/>
        <w:rPr>
          <w:rFonts w:ascii="Marianne" w:hAnsi="Marianne"/>
        </w:rPr>
      </w:pPr>
    </w:p>
    <w:p w14:paraId="744C6C56" w14:textId="77777777" w:rsidR="00387587" w:rsidRPr="00387587" w:rsidRDefault="00387587" w:rsidP="00387587">
      <w:pPr>
        <w:jc w:val="both"/>
        <w:rPr>
          <w:rFonts w:ascii="Marianne" w:hAnsi="Marianne"/>
        </w:rPr>
      </w:pPr>
      <w:r w:rsidRPr="00387587">
        <w:rPr>
          <w:rFonts w:ascii="Marianne" w:hAnsi="Marianne"/>
        </w:rPr>
        <w:t xml:space="preserve">Comme vous le savez, nous organisons le </w:t>
      </w:r>
      <w:r w:rsidRPr="00387587">
        <w:rPr>
          <w:rFonts w:ascii="Marianne" w:hAnsi="Marianne"/>
          <w:highlight w:val="yellow"/>
        </w:rPr>
        <w:t>[DATE]</w:t>
      </w:r>
      <w:r w:rsidRPr="00387587">
        <w:rPr>
          <w:rFonts w:ascii="Marianne" w:hAnsi="Marianne"/>
        </w:rPr>
        <w:t xml:space="preserve"> à </w:t>
      </w:r>
      <w:r w:rsidRPr="00387587">
        <w:rPr>
          <w:rFonts w:ascii="Marianne" w:hAnsi="Marianne"/>
          <w:highlight w:val="yellow"/>
        </w:rPr>
        <w:t>[HEURE]</w:t>
      </w:r>
      <w:r w:rsidRPr="00387587">
        <w:rPr>
          <w:rFonts w:ascii="Marianne" w:hAnsi="Marianne"/>
        </w:rPr>
        <w:t xml:space="preserve">, un exercice de gestion de crise d’origine cyber en conditions réelles. </w:t>
      </w:r>
    </w:p>
    <w:p w14:paraId="32E510C2" w14:textId="77777777" w:rsidR="00387587" w:rsidRPr="00387587" w:rsidRDefault="00387587" w:rsidP="00387587">
      <w:pPr>
        <w:jc w:val="both"/>
        <w:rPr>
          <w:rFonts w:ascii="Marianne" w:hAnsi="Marianne"/>
        </w:rPr>
      </w:pPr>
    </w:p>
    <w:p w14:paraId="18C0C383" w14:textId="77777777" w:rsidR="00387587" w:rsidRPr="00387587" w:rsidRDefault="00387587" w:rsidP="00387587">
      <w:pPr>
        <w:jc w:val="both"/>
        <w:rPr>
          <w:rFonts w:ascii="Marianne" w:hAnsi="Marianne"/>
        </w:rPr>
      </w:pPr>
      <w:r w:rsidRPr="00387587">
        <w:rPr>
          <w:rFonts w:ascii="Marianne" w:hAnsi="Marianne"/>
        </w:rPr>
        <w:t>Plusieurs objectifs sont visés par cet exercice</w:t>
      </w:r>
      <w:r w:rsidRPr="00387587">
        <w:rPr>
          <w:rFonts w:ascii="Calibri" w:hAnsi="Calibri" w:cs="Calibri"/>
        </w:rPr>
        <w:t> </w:t>
      </w:r>
      <w:r w:rsidRPr="00387587">
        <w:rPr>
          <w:rFonts w:ascii="Marianne" w:hAnsi="Marianne"/>
        </w:rPr>
        <w:t xml:space="preserve">: </w:t>
      </w:r>
    </w:p>
    <w:p w14:paraId="361934AF" w14:textId="2CD7D603" w:rsidR="00387587" w:rsidRPr="00387587" w:rsidRDefault="00387587" w:rsidP="00387587">
      <w:pPr>
        <w:pStyle w:val="Paragraphedeliste"/>
        <w:numPr>
          <w:ilvl w:val="0"/>
          <w:numId w:val="1"/>
        </w:numPr>
        <w:jc w:val="both"/>
        <w:rPr>
          <w:rFonts w:ascii="Marianne" w:hAnsi="Marianne"/>
          <w:highlight w:val="yellow"/>
        </w:rPr>
      </w:pPr>
      <w:r w:rsidRPr="00387587">
        <w:rPr>
          <w:rFonts w:ascii="Marianne" w:hAnsi="Marianne"/>
          <w:highlight w:val="yellow"/>
        </w:rPr>
        <w:t>[</w:t>
      </w:r>
      <w:proofErr w:type="gramStart"/>
      <w:r w:rsidRPr="00387587">
        <w:rPr>
          <w:rFonts w:ascii="Marianne" w:hAnsi="Marianne"/>
          <w:highlight w:val="yellow"/>
        </w:rPr>
        <w:t>à</w:t>
      </w:r>
      <w:proofErr w:type="gramEnd"/>
      <w:r w:rsidRPr="00387587">
        <w:rPr>
          <w:rFonts w:ascii="Marianne" w:hAnsi="Marianne"/>
          <w:highlight w:val="yellow"/>
        </w:rPr>
        <w:t xml:space="preserve"> compléter]</w:t>
      </w:r>
    </w:p>
    <w:p w14:paraId="0006EAFB" w14:textId="32282478" w:rsidR="00387587" w:rsidRPr="00387587" w:rsidRDefault="00387587" w:rsidP="00387587">
      <w:pPr>
        <w:pStyle w:val="Paragraphedeliste"/>
        <w:numPr>
          <w:ilvl w:val="0"/>
          <w:numId w:val="1"/>
        </w:numPr>
        <w:jc w:val="both"/>
        <w:rPr>
          <w:rFonts w:ascii="Marianne" w:hAnsi="Marianne"/>
          <w:highlight w:val="yellow"/>
        </w:rPr>
      </w:pPr>
      <w:r w:rsidRPr="00387587">
        <w:rPr>
          <w:rFonts w:ascii="Marianne" w:hAnsi="Marianne"/>
          <w:highlight w:val="yellow"/>
        </w:rPr>
        <w:t>[</w:t>
      </w:r>
      <w:proofErr w:type="gramStart"/>
      <w:r w:rsidRPr="00387587">
        <w:rPr>
          <w:rFonts w:ascii="Marianne" w:hAnsi="Marianne"/>
          <w:highlight w:val="yellow"/>
        </w:rPr>
        <w:t>à</w:t>
      </w:r>
      <w:proofErr w:type="gramEnd"/>
      <w:r w:rsidRPr="00387587">
        <w:rPr>
          <w:rFonts w:ascii="Marianne" w:hAnsi="Marianne"/>
          <w:highlight w:val="yellow"/>
        </w:rPr>
        <w:t xml:space="preserve"> compléter]</w:t>
      </w:r>
    </w:p>
    <w:p w14:paraId="247144A6" w14:textId="393BA617" w:rsidR="00387587" w:rsidRPr="00387587" w:rsidRDefault="00387587" w:rsidP="00387587">
      <w:pPr>
        <w:pStyle w:val="Paragraphedeliste"/>
        <w:numPr>
          <w:ilvl w:val="0"/>
          <w:numId w:val="1"/>
        </w:numPr>
        <w:jc w:val="both"/>
        <w:rPr>
          <w:rFonts w:ascii="Marianne" w:hAnsi="Marianne"/>
          <w:highlight w:val="yellow"/>
        </w:rPr>
      </w:pPr>
      <w:r w:rsidRPr="00387587">
        <w:rPr>
          <w:rFonts w:ascii="Marianne" w:hAnsi="Marianne"/>
          <w:highlight w:val="yellow"/>
        </w:rPr>
        <w:t>[</w:t>
      </w:r>
      <w:proofErr w:type="gramStart"/>
      <w:r w:rsidRPr="00387587">
        <w:rPr>
          <w:rFonts w:ascii="Marianne" w:hAnsi="Marianne"/>
          <w:highlight w:val="yellow"/>
        </w:rPr>
        <w:t>à</w:t>
      </w:r>
      <w:proofErr w:type="gramEnd"/>
      <w:r w:rsidRPr="00387587">
        <w:rPr>
          <w:rFonts w:ascii="Marianne" w:hAnsi="Marianne"/>
          <w:highlight w:val="yellow"/>
        </w:rPr>
        <w:t xml:space="preserve"> compléter]</w:t>
      </w:r>
    </w:p>
    <w:p w14:paraId="28636741" w14:textId="77777777" w:rsidR="00387587" w:rsidRPr="00387587" w:rsidRDefault="00387587" w:rsidP="00387587">
      <w:pPr>
        <w:jc w:val="both"/>
        <w:rPr>
          <w:rFonts w:ascii="Marianne" w:hAnsi="Marianne"/>
        </w:rPr>
      </w:pPr>
    </w:p>
    <w:p w14:paraId="087CECA7" w14:textId="5E643F41" w:rsidR="00387587" w:rsidRPr="00387587" w:rsidRDefault="00387587" w:rsidP="00387587">
      <w:pPr>
        <w:jc w:val="both"/>
        <w:rPr>
          <w:rFonts w:ascii="Marianne" w:hAnsi="Marianne"/>
        </w:rPr>
      </w:pPr>
      <w:r w:rsidRPr="00387587">
        <w:rPr>
          <w:rFonts w:ascii="Marianne" w:hAnsi="Marianne"/>
        </w:rPr>
        <w:t xml:space="preserve">En tant que joueur, vous trouverez ci-joint un kit incluant notamment les règles de l’exercice, les bonnes pratiques de gestion de crise cyber et plusieurs documents qui vous seront utiles lors du jour J. </w:t>
      </w:r>
    </w:p>
    <w:p w14:paraId="3B8F7372" w14:textId="3137BC09" w:rsidR="00387587" w:rsidRPr="00387587" w:rsidRDefault="00387587" w:rsidP="00387587">
      <w:pPr>
        <w:jc w:val="both"/>
        <w:rPr>
          <w:rFonts w:ascii="Marianne" w:hAnsi="Marianne"/>
        </w:rPr>
      </w:pPr>
    </w:p>
    <w:p w14:paraId="6065BCDC" w14:textId="56FAFF6C" w:rsidR="00387587" w:rsidRPr="00387587" w:rsidRDefault="00387587" w:rsidP="00387587">
      <w:pPr>
        <w:rPr>
          <w:rFonts w:ascii="Marianne" w:hAnsi="Marianne"/>
        </w:rPr>
      </w:pPr>
    </w:p>
    <w:p w14:paraId="3A0B2B06" w14:textId="77777777" w:rsidR="00387587" w:rsidRPr="00387587" w:rsidRDefault="00387587" w:rsidP="00387587">
      <w:pPr>
        <w:rPr>
          <w:rFonts w:ascii="Marianne" w:hAnsi="Marianne"/>
        </w:rPr>
      </w:pPr>
      <w:r w:rsidRPr="00387587">
        <w:rPr>
          <w:rFonts w:ascii="Marianne" w:hAnsi="Marianne"/>
        </w:rPr>
        <w:t>Bien cordialement,</w:t>
      </w:r>
    </w:p>
    <w:p w14:paraId="597E5C9F" w14:textId="67E6A1C8" w:rsidR="00387587" w:rsidRPr="0035191F" w:rsidRDefault="00387587" w:rsidP="00387587">
      <w:pPr>
        <w:rPr>
          <w:rFonts w:ascii="Marianne" w:hAnsi="Marianne"/>
        </w:rPr>
      </w:pPr>
      <w:r w:rsidRPr="0035191F">
        <w:rPr>
          <w:rFonts w:ascii="Marianne" w:hAnsi="Marianne"/>
          <w:highlight w:val="yellow"/>
        </w:rPr>
        <w:t>[</w:t>
      </w:r>
      <w:r w:rsidR="00252218" w:rsidRPr="0035191F">
        <w:rPr>
          <w:rFonts w:ascii="Marianne" w:hAnsi="Marianne"/>
          <w:highlight w:val="yellow"/>
        </w:rPr>
        <w:t>L</w:t>
      </w:r>
      <w:r w:rsidR="00252218" w:rsidRPr="0035191F">
        <w:rPr>
          <w:rFonts w:ascii="Marianne" w:hAnsi="Marianne" w:cs="Calibri"/>
          <w:highlight w:val="yellow"/>
        </w:rPr>
        <w:t>e planificateur</w:t>
      </w:r>
      <w:r w:rsidRPr="0035191F">
        <w:rPr>
          <w:rFonts w:ascii="Marianne" w:hAnsi="Marianne"/>
          <w:highlight w:val="yellow"/>
        </w:rPr>
        <w:t>]</w:t>
      </w:r>
    </w:p>
    <w:p w14:paraId="0A40B438" w14:textId="3E0881A7" w:rsidR="004D3194" w:rsidRPr="00387587" w:rsidRDefault="004D3194">
      <w:pPr>
        <w:rPr>
          <w:rFonts w:ascii="Marianne" w:hAnsi="Marianne"/>
        </w:rPr>
      </w:pPr>
    </w:p>
    <w:p w14:paraId="7375F835" w14:textId="23BAB8C6" w:rsidR="00387587" w:rsidRPr="00387587" w:rsidRDefault="00876CCD" w:rsidP="00876CCD">
      <w:pPr>
        <w:jc w:val="center"/>
        <w:rPr>
          <w:rFonts w:ascii="Marianne" w:hAnsi="Marianne"/>
        </w:rPr>
      </w:pPr>
      <w:r>
        <w:rPr>
          <w:rFonts w:ascii="Marianne" w:hAnsi="Marianne"/>
        </w:rPr>
        <w:t>***</w:t>
      </w:r>
    </w:p>
    <w:p w14:paraId="52BF3BB4" w14:textId="27D72D97" w:rsidR="00387587" w:rsidRPr="00387587" w:rsidRDefault="00387587">
      <w:pPr>
        <w:rPr>
          <w:rFonts w:ascii="Marianne" w:hAnsi="Marianne"/>
        </w:rPr>
      </w:pPr>
    </w:p>
    <w:p w14:paraId="3DD16B80" w14:textId="3607145C" w:rsidR="00876CCD" w:rsidRDefault="00876CCD" w:rsidP="00876CCD">
      <w:pPr>
        <w:rPr>
          <w:rFonts w:ascii="Marianne" w:hAnsi="Marianne"/>
          <w:b/>
          <w:u w:val="single"/>
        </w:rPr>
      </w:pPr>
    </w:p>
    <w:p w14:paraId="7FB00C52" w14:textId="3532B7F8" w:rsidR="00876CCD" w:rsidRPr="00252218" w:rsidRDefault="00876CCD" w:rsidP="00357C59">
      <w:pPr>
        <w:jc w:val="center"/>
        <w:rPr>
          <w:rFonts w:ascii="Marianne" w:hAnsi="Marianne"/>
          <w:b/>
          <w:sz w:val="28"/>
          <w:u w:val="single"/>
        </w:rPr>
      </w:pPr>
      <w:bookmarkStart w:id="0" w:name="_GoBack"/>
      <w:r w:rsidRPr="00252218">
        <w:rPr>
          <w:rFonts w:ascii="Marianne" w:hAnsi="Marianne"/>
          <w:b/>
          <w:sz w:val="28"/>
          <w:u w:val="single"/>
        </w:rPr>
        <w:t>Exemple de stimuli envoyé aux joueurs pendant l’exercice</w:t>
      </w:r>
      <w:bookmarkEnd w:id="0"/>
    </w:p>
    <w:p w14:paraId="58BB13F2" w14:textId="53503F34" w:rsidR="00387587" w:rsidRPr="00387587" w:rsidRDefault="00387587">
      <w:pPr>
        <w:rPr>
          <w:rFonts w:ascii="Marianne" w:hAnsi="Marianne"/>
        </w:rPr>
      </w:pPr>
    </w:p>
    <w:p w14:paraId="3C0CE837" w14:textId="567709D4" w:rsidR="00387587" w:rsidRPr="00876CCD" w:rsidRDefault="00876CCD">
      <w:pPr>
        <w:rPr>
          <w:rFonts w:ascii="Marianne" w:hAnsi="Marianne"/>
          <w:b/>
        </w:rPr>
      </w:pPr>
      <w:r w:rsidRPr="00876CCD">
        <w:rPr>
          <w:rFonts w:ascii="Marianne" w:hAnsi="Marianne"/>
          <w:b/>
        </w:rPr>
        <w:t>Objet</w:t>
      </w:r>
      <w:r w:rsidRPr="00876CCD">
        <w:rPr>
          <w:rFonts w:ascii="Calibri" w:hAnsi="Calibri" w:cs="Calibri"/>
          <w:b/>
        </w:rPr>
        <w:t> </w:t>
      </w:r>
      <w:r w:rsidRPr="00876CCD">
        <w:rPr>
          <w:rFonts w:ascii="Marianne" w:hAnsi="Marianne"/>
          <w:b/>
        </w:rPr>
        <w:t xml:space="preserve">: </w:t>
      </w:r>
      <w:r>
        <w:rPr>
          <w:rFonts w:ascii="Marianne" w:hAnsi="Marianne"/>
          <w:b/>
        </w:rPr>
        <w:t xml:space="preserve">EXERCICE CYBER - </w:t>
      </w:r>
      <w:r w:rsidRPr="00876CCD">
        <w:rPr>
          <w:rFonts w:ascii="Marianne" w:hAnsi="Marianne"/>
          <w:b/>
        </w:rPr>
        <w:t>Accès plateforme recherche</w:t>
      </w:r>
    </w:p>
    <w:p w14:paraId="32A91726" w14:textId="2AD641A0" w:rsidR="00876CCD" w:rsidRDefault="00876CCD" w:rsidP="00387587">
      <w:pPr>
        <w:rPr>
          <w:rFonts w:ascii="Marianne" w:hAnsi="Marianne"/>
          <w:b/>
          <w:color w:val="FF0000"/>
        </w:rPr>
      </w:pPr>
    </w:p>
    <w:p w14:paraId="63B4AE5F" w14:textId="75ABAEE4" w:rsidR="00387587" w:rsidRPr="00387587" w:rsidRDefault="00387587" w:rsidP="00387587">
      <w:pPr>
        <w:rPr>
          <w:rFonts w:ascii="Marianne" w:hAnsi="Marianne"/>
          <w:b/>
          <w:color w:val="FF0000"/>
        </w:rPr>
      </w:pPr>
      <w:r w:rsidRPr="00387587">
        <w:rPr>
          <w:rFonts w:ascii="Marianne" w:hAnsi="Marianne"/>
          <w:b/>
          <w:color w:val="FF0000"/>
        </w:rPr>
        <w:t>EXERCICE – EXERCICE - EXERCICE</w:t>
      </w:r>
    </w:p>
    <w:p w14:paraId="2592539F" w14:textId="2A311E02" w:rsidR="00387587" w:rsidRPr="00387587" w:rsidRDefault="00387587" w:rsidP="00387587">
      <w:pPr>
        <w:rPr>
          <w:rFonts w:ascii="Marianne" w:hAnsi="Marianne"/>
        </w:rPr>
      </w:pPr>
    </w:p>
    <w:p w14:paraId="799EBDD2" w14:textId="58A4B8E4" w:rsidR="00387587" w:rsidRPr="00387587" w:rsidRDefault="00387587" w:rsidP="00387587">
      <w:pPr>
        <w:rPr>
          <w:rFonts w:ascii="Marianne" w:hAnsi="Marianne"/>
        </w:rPr>
      </w:pPr>
      <w:r w:rsidRPr="00387587">
        <w:rPr>
          <w:rFonts w:ascii="Marianne" w:hAnsi="Marianne"/>
        </w:rPr>
        <w:t xml:space="preserve">Bonjour, </w:t>
      </w:r>
    </w:p>
    <w:p w14:paraId="59E510EE" w14:textId="016CC887" w:rsidR="00387587" w:rsidRPr="00387587" w:rsidRDefault="00387587" w:rsidP="00387587">
      <w:pPr>
        <w:rPr>
          <w:rFonts w:ascii="Marianne" w:hAnsi="Marianne"/>
        </w:rPr>
      </w:pPr>
    </w:p>
    <w:p w14:paraId="43C76D2D" w14:textId="63049F35" w:rsidR="00387587" w:rsidRPr="00387587" w:rsidRDefault="00387587" w:rsidP="00387587">
      <w:pPr>
        <w:rPr>
          <w:rFonts w:ascii="Marianne" w:hAnsi="Marianne"/>
        </w:rPr>
      </w:pPr>
      <w:r w:rsidRPr="00387587">
        <w:rPr>
          <w:rFonts w:ascii="Marianne" w:hAnsi="Marianne"/>
        </w:rPr>
        <w:t>Des chercheurs et enseignants-chercheurs signalent ne plus être en mesure d'accéder à leur service numérique hébergeant leur projet de recherche.</w:t>
      </w:r>
    </w:p>
    <w:p w14:paraId="54B434B5" w14:textId="1E8150AB" w:rsidR="00387587" w:rsidRPr="00387587" w:rsidRDefault="00387587" w:rsidP="00387587">
      <w:pPr>
        <w:rPr>
          <w:rFonts w:ascii="Marianne" w:hAnsi="Marianne"/>
        </w:rPr>
      </w:pPr>
      <w:r w:rsidRPr="00387587">
        <w:rPr>
          <w:rFonts w:ascii="Marianne" w:hAnsi="Marianne"/>
        </w:rPr>
        <w:t xml:space="preserve">Le service numérique en question est également hébergé chez le sous-traitant </w:t>
      </w:r>
      <w:r w:rsidRPr="00387587">
        <w:rPr>
          <w:rFonts w:ascii="Marianne" w:hAnsi="Marianne"/>
          <w:color w:val="FF0000"/>
        </w:rPr>
        <w:t>(nom du fournisseur Cloud).</w:t>
      </w:r>
    </w:p>
    <w:p w14:paraId="2056EA09" w14:textId="4E0987C9" w:rsidR="00387587" w:rsidRPr="00387587" w:rsidRDefault="00387587" w:rsidP="00387587">
      <w:pPr>
        <w:rPr>
          <w:rFonts w:ascii="Marianne" w:hAnsi="Marianne"/>
        </w:rPr>
      </w:pPr>
      <w:r w:rsidRPr="00387587">
        <w:rPr>
          <w:rFonts w:ascii="Marianne" w:hAnsi="Marianne"/>
        </w:rPr>
        <w:t>Pourriez-vous vous rapprocher du prestataire pour en savoir plus ?</w:t>
      </w:r>
    </w:p>
    <w:p w14:paraId="415D0C6C" w14:textId="75BB5245" w:rsidR="00387587" w:rsidRPr="00387587" w:rsidRDefault="00387587" w:rsidP="00387587">
      <w:pPr>
        <w:rPr>
          <w:rFonts w:ascii="Marianne" w:hAnsi="Marianne"/>
        </w:rPr>
      </w:pPr>
    </w:p>
    <w:p w14:paraId="29B26B12" w14:textId="16925EBC" w:rsidR="00387587" w:rsidRPr="00387587" w:rsidRDefault="00387587" w:rsidP="00387587">
      <w:pPr>
        <w:rPr>
          <w:rFonts w:ascii="Marianne" w:hAnsi="Marianne"/>
        </w:rPr>
      </w:pPr>
      <w:r w:rsidRPr="00387587">
        <w:rPr>
          <w:rFonts w:ascii="Marianne" w:hAnsi="Marianne"/>
        </w:rPr>
        <w:t>Bien cordialement,</w:t>
      </w:r>
    </w:p>
    <w:p w14:paraId="3CC2513B" w14:textId="75D24005" w:rsidR="00387587" w:rsidRPr="00387587" w:rsidRDefault="00387587" w:rsidP="00387587">
      <w:pPr>
        <w:rPr>
          <w:rFonts w:ascii="Marianne" w:hAnsi="Marianne"/>
          <w:b/>
        </w:rPr>
      </w:pPr>
      <w:r w:rsidRPr="00387587">
        <w:rPr>
          <w:rFonts w:ascii="Marianne" w:hAnsi="Marianne"/>
          <w:b/>
        </w:rPr>
        <w:t>[L’équipe Helpdesk SOS]</w:t>
      </w:r>
    </w:p>
    <w:p w14:paraId="05B3070C" w14:textId="2AFAA766" w:rsidR="00387587" w:rsidRPr="00387587" w:rsidRDefault="00387587" w:rsidP="00387587">
      <w:pPr>
        <w:rPr>
          <w:rFonts w:ascii="Marianne" w:hAnsi="Marianne"/>
        </w:rPr>
      </w:pPr>
    </w:p>
    <w:p w14:paraId="40221D31" w14:textId="0496E46E" w:rsidR="00387587" w:rsidRPr="00387587" w:rsidRDefault="00387587" w:rsidP="00387587">
      <w:pPr>
        <w:rPr>
          <w:rFonts w:ascii="Marianne" w:hAnsi="Marianne"/>
          <w:b/>
          <w:color w:val="FF0000"/>
        </w:rPr>
      </w:pPr>
      <w:r w:rsidRPr="00387587">
        <w:rPr>
          <w:rFonts w:ascii="Marianne" w:hAnsi="Marianne"/>
          <w:b/>
          <w:color w:val="FF0000"/>
        </w:rPr>
        <w:t>EXERCICE – EXERCICE - EXERCICE</w:t>
      </w:r>
    </w:p>
    <w:p w14:paraId="58E34A60" w14:textId="486691B1" w:rsidR="00387587" w:rsidRDefault="00387587"/>
    <w:p w14:paraId="73808D6C" w14:textId="42356F86" w:rsidR="00387587" w:rsidRDefault="00876CCD"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7C80" wp14:editId="12C52C98">
                <wp:simplePos x="0" y="0"/>
                <wp:positionH relativeFrom="margin">
                  <wp:align>right</wp:align>
                </wp:positionH>
                <wp:positionV relativeFrom="paragraph">
                  <wp:posOffset>65390</wp:posOffset>
                </wp:positionV>
                <wp:extent cx="5688330" cy="1701209"/>
                <wp:effectExtent l="19050" t="19050" r="266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1701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2792B" w14:textId="77777777" w:rsidR="00876CCD" w:rsidRPr="00876CCD" w:rsidRDefault="00876CCD" w:rsidP="00876CCD">
                            <w:pPr>
                              <w:spacing w:after="120"/>
                              <w:jc w:val="both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  <w:r w:rsidRPr="00876CCD">
                              <w:rPr>
                                <w:rFonts w:ascii="Marianne" w:hAnsi="Marianne"/>
                                <w:b/>
                                <w:color w:val="000000" w:themeColor="text1"/>
                              </w:rPr>
                              <w:t>Recommandation</w:t>
                            </w:r>
                            <w:r w:rsidRPr="00876CCD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 </w:t>
                            </w:r>
                            <w:r w:rsidRPr="00876CCD">
                              <w:rPr>
                                <w:rFonts w:ascii="Marianne" w:hAnsi="Marianne"/>
                                <w:color w:val="000000" w:themeColor="text1"/>
                              </w:rPr>
                              <w:t>: il est conseillé de préparer en amont l’ensemble des stimulis à envoyer le jour J. Pour ce faire</w:t>
                            </w:r>
                            <w:r w:rsidRPr="00876CCD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 </w:t>
                            </w:r>
                            <w:r w:rsidRPr="00876CCD"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3FDF22F0" w14:textId="355EC218" w:rsidR="00876CCD" w:rsidRPr="00876CCD" w:rsidRDefault="00876CCD" w:rsidP="00876C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  <w:r w:rsidRPr="00876CCD"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Préparer les mails et les enregistrer en brouillon, 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mais procédez </w:t>
                            </w:r>
                            <w:r w:rsidRPr="00876CCD">
                              <w:rPr>
                                <w:rFonts w:ascii="Marianne" w:hAnsi="Marianne"/>
                                <w:color w:val="000000" w:themeColor="text1"/>
                              </w:rPr>
                              <w:t>de manière à ce qu’ils soient dans l’ordre d’envoi au regard du chronogramme</w:t>
                            </w:r>
                            <w:r w:rsidRPr="00876CCD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 </w:t>
                            </w:r>
                            <w:r w:rsidRPr="00876CCD">
                              <w:rPr>
                                <w:rFonts w:ascii="Marianne" w:hAnsi="Marianne"/>
                                <w:color w:val="000000" w:themeColor="text1"/>
                              </w:rPr>
                              <w:t>;</w:t>
                            </w:r>
                          </w:p>
                          <w:p w14:paraId="0E66C211" w14:textId="51850989" w:rsidR="00876CCD" w:rsidRPr="00876CCD" w:rsidRDefault="00876CCD" w:rsidP="00876C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  <w:r w:rsidRPr="00876CCD">
                              <w:rPr>
                                <w:rFonts w:ascii="Marianne" w:hAnsi="Marianne"/>
                                <w:color w:val="000000" w:themeColor="text1"/>
                              </w:rPr>
                              <w:t>Lors de la préparation, vous pouvez ajouter en objet du mail soit l’heure d’envoi ou le numéro du stimuli (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toujours </w:t>
                            </w:r>
                            <w:r w:rsidRPr="00876CCD"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au regard du chronogramme). Cela vous permettra de vous repérer le jour J.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7C80" id="Rectangle 1" o:spid="_x0000_s1026" style="position:absolute;margin-left:396.7pt;margin-top:5.15pt;width:447.9pt;height:133.9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" fillcolor="white [3212]" strokecolor="#1f3763 [1604]" strokeweight="3pt">
                <v:textbox>
                  <w:txbxContent>
                    <w:p w14:paraId="1EB2792B" w14:textId="77777777" w:rsidR="00876CCD" w:rsidRPr="00876CCD" w:rsidRDefault="00876CCD" w:rsidP="00876CCD">
                      <w:pPr>
                        <w:spacing w:after="120"/>
                        <w:jc w:val="both"/>
                        <w:rPr>
                          <w:rFonts w:ascii="Marianne" w:hAnsi="Marianne"/>
                          <w:color w:val="000000" w:themeColor="text1"/>
                        </w:rPr>
                      </w:pPr>
                      <w:r w:rsidRPr="00876CCD">
                        <w:rPr>
                          <w:rFonts w:ascii="Marianne" w:hAnsi="Marianne"/>
                          <w:b/>
                          <w:color w:val="000000" w:themeColor="text1"/>
                        </w:rPr>
                        <w:t>Recommandation</w:t>
                      </w:r>
                      <w:r w:rsidRPr="00876CCD">
                        <w:rPr>
                          <w:rFonts w:ascii="Calibri" w:hAnsi="Calibri" w:cs="Calibri"/>
                          <w:color w:val="000000" w:themeColor="text1"/>
                        </w:rPr>
                        <w:t> </w:t>
                      </w:r>
                      <w:r w:rsidRPr="00876CCD">
                        <w:rPr>
                          <w:rFonts w:ascii="Marianne" w:hAnsi="Marianne"/>
                          <w:color w:val="000000" w:themeColor="text1"/>
                        </w:rPr>
                        <w:t>: il est conseillé de préparer en amont l’ensemble des stimulis à envoyer le jour J. Pour ce faire</w:t>
                      </w:r>
                      <w:r w:rsidRPr="00876CCD">
                        <w:rPr>
                          <w:rFonts w:ascii="Calibri" w:hAnsi="Calibri" w:cs="Calibri"/>
                          <w:color w:val="000000" w:themeColor="text1"/>
                        </w:rPr>
                        <w:t> </w:t>
                      </w:r>
                      <w:r w:rsidRPr="00876CCD">
                        <w:rPr>
                          <w:rFonts w:ascii="Marianne" w:hAnsi="Marianne"/>
                          <w:color w:val="000000" w:themeColor="text1"/>
                        </w:rPr>
                        <w:t xml:space="preserve">: </w:t>
                      </w:r>
                    </w:p>
                    <w:p w14:paraId="3FDF22F0" w14:textId="355EC218" w:rsidR="00876CCD" w:rsidRPr="00876CCD" w:rsidRDefault="00876CCD" w:rsidP="00876C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Marianne" w:hAnsi="Marianne"/>
                          <w:color w:val="000000" w:themeColor="text1"/>
                        </w:rPr>
                      </w:pPr>
                      <w:r w:rsidRPr="00876CCD">
                        <w:rPr>
                          <w:rFonts w:ascii="Marianne" w:hAnsi="Marianne"/>
                          <w:color w:val="000000" w:themeColor="text1"/>
                        </w:rPr>
                        <w:t xml:space="preserve">Préparer les mails et les enregistrer en brouillon, </w:t>
                      </w:r>
                      <w:r>
                        <w:rPr>
                          <w:rFonts w:ascii="Marianne" w:hAnsi="Marianne"/>
                          <w:color w:val="000000" w:themeColor="text1"/>
                        </w:rPr>
                        <w:t xml:space="preserve">mais procédez </w:t>
                      </w:r>
                      <w:r w:rsidRPr="00876CCD">
                        <w:rPr>
                          <w:rFonts w:ascii="Marianne" w:hAnsi="Marianne"/>
                          <w:color w:val="000000" w:themeColor="text1"/>
                        </w:rPr>
                        <w:t>de manière à ce qu’ils soient dans l’ordre d’envoi au regard du chronogramme</w:t>
                      </w:r>
                      <w:r w:rsidRPr="00876CCD">
                        <w:rPr>
                          <w:rFonts w:ascii="Calibri" w:hAnsi="Calibri" w:cs="Calibri"/>
                          <w:color w:val="000000" w:themeColor="text1"/>
                        </w:rPr>
                        <w:t> </w:t>
                      </w:r>
                      <w:r w:rsidRPr="00876CCD">
                        <w:rPr>
                          <w:rFonts w:ascii="Marianne" w:hAnsi="Marianne"/>
                          <w:color w:val="000000" w:themeColor="text1"/>
                        </w:rPr>
                        <w:t>;</w:t>
                      </w:r>
                    </w:p>
                    <w:p w14:paraId="0E66C211" w14:textId="51850989" w:rsidR="00876CCD" w:rsidRPr="00876CCD" w:rsidRDefault="00876CCD" w:rsidP="00876C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Marianne" w:hAnsi="Marianne"/>
                          <w:color w:val="000000" w:themeColor="text1"/>
                        </w:rPr>
                      </w:pPr>
                      <w:r w:rsidRPr="00876CCD">
                        <w:rPr>
                          <w:rFonts w:ascii="Marianne" w:hAnsi="Marianne"/>
                          <w:color w:val="000000" w:themeColor="text1"/>
                        </w:rPr>
                        <w:t>Lors de la préparation, vous pouvez ajouter en objet du mail soit l’heure d’envoi ou le numéro du stimuli (</w:t>
                      </w:r>
                      <w:r>
                        <w:rPr>
                          <w:rFonts w:ascii="Marianne" w:hAnsi="Marianne"/>
                          <w:color w:val="000000" w:themeColor="text1"/>
                        </w:rPr>
                        <w:t xml:space="preserve">toujours </w:t>
                      </w:r>
                      <w:r w:rsidRPr="00876CCD">
                        <w:rPr>
                          <w:rFonts w:ascii="Marianne" w:hAnsi="Marianne"/>
                          <w:color w:val="000000" w:themeColor="text1"/>
                        </w:rPr>
                        <w:t xml:space="preserve">au regard du chronogramme). Cela vous permettra de vous repérer le jour J.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87587" w:rsidSect="00876C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7259"/>
    <w:multiLevelType w:val="hybridMultilevel"/>
    <w:tmpl w:val="4FA25AEE"/>
    <w:lvl w:ilvl="0" w:tplc="8200A7BC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93C"/>
    <w:multiLevelType w:val="hybridMultilevel"/>
    <w:tmpl w:val="B5EA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94"/>
    <w:rsid w:val="00252218"/>
    <w:rsid w:val="0035191F"/>
    <w:rsid w:val="00357C59"/>
    <w:rsid w:val="00387587"/>
    <w:rsid w:val="004D3194"/>
    <w:rsid w:val="008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18A0"/>
  <w15:chartTrackingRefBased/>
  <w15:docId w15:val="{795D336D-DA83-4164-8480-A0FDC770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58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SGDSN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Jenna</dc:creator>
  <cp:keywords/>
  <dc:description/>
  <cp:lastModifiedBy>Nowak Celia</cp:lastModifiedBy>
  <cp:revision>5</cp:revision>
  <dcterms:created xsi:type="dcterms:W3CDTF">2023-04-27T16:46:00Z</dcterms:created>
  <dcterms:modified xsi:type="dcterms:W3CDTF">2023-08-11T12:45:00Z</dcterms:modified>
</cp:coreProperties>
</file>