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87"/>
        <w:gridCol w:w="3310"/>
        <w:gridCol w:w="2552"/>
        <w:gridCol w:w="2384"/>
        <w:gridCol w:w="3241"/>
      </w:tblGrid>
      <w:tr w:rsidR="009A12E9" w:rsidRPr="00542B0A" w:rsidTr="009A12E9">
        <w:tc>
          <w:tcPr>
            <w:tcW w:w="2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44546A" w:themeFill="text2"/>
            <w:vAlign w:val="center"/>
          </w:tcPr>
          <w:p w:rsidR="009A12E9" w:rsidRPr="00542B0A" w:rsidRDefault="009A12E9" w:rsidP="009A12E9">
            <w:pPr>
              <w:pStyle w:val="Default"/>
              <w:spacing w:after="122"/>
              <w:jc w:val="center"/>
              <w:rPr>
                <w:rFonts w:ascii="Marianne" w:hAnsi="Marianne"/>
                <w:b/>
                <w:iCs/>
                <w:color w:val="FFFFFF" w:themeColor="background1"/>
                <w:sz w:val="18"/>
                <w:szCs w:val="20"/>
              </w:rPr>
            </w:pPr>
            <w:bookmarkStart w:id="0" w:name="_GoBack" w:colFirst="1" w:colLast="1"/>
            <w:r w:rsidRPr="00542B0A">
              <w:rPr>
                <w:rFonts w:ascii="Marianne" w:hAnsi="Marianne"/>
                <w:b/>
                <w:iCs/>
                <w:color w:val="FFFFFF" w:themeColor="background1"/>
                <w:sz w:val="18"/>
                <w:szCs w:val="20"/>
              </w:rPr>
              <w:t>Questions</w:t>
            </w:r>
          </w:p>
        </w:tc>
        <w:tc>
          <w:tcPr>
            <w:tcW w:w="3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546A" w:themeFill="text2"/>
            <w:vAlign w:val="center"/>
          </w:tcPr>
          <w:p w:rsidR="009A12E9" w:rsidRPr="00542B0A" w:rsidRDefault="009A12E9" w:rsidP="009A12E9">
            <w:pPr>
              <w:pStyle w:val="Default"/>
              <w:spacing w:after="122"/>
              <w:jc w:val="center"/>
              <w:rPr>
                <w:rFonts w:ascii="Marianne" w:hAnsi="Marianne"/>
                <w:b/>
                <w:iCs/>
                <w:color w:val="FFFFFF" w:themeColor="background1"/>
                <w:sz w:val="18"/>
                <w:szCs w:val="20"/>
              </w:rPr>
            </w:pPr>
            <w:r w:rsidRPr="00542B0A">
              <w:rPr>
                <w:rFonts w:ascii="Marianne" w:hAnsi="Marianne"/>
                <w:b/>
                <w:iCs/>
                <w:color w:val="FFFFFF" w:themeColor="background1"/>
                <w:sz w:val="18"/>
                <w:szCs w:val="20"/>
              </w:rPr>
              <w:t>Notes libres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44546A" w:themeFill="text2"/>
            <w:vAlign w:val="center"/>
          </w:tcPr>
          <w:p w:rsidR="009A12E9" w:rsidRPr="00542B0A" w:rsidRDefault="009A12E9" w:rsidP="009A12E9">
            <w:pPr>
              <w:pStyle w:val="Default"/>
              <w:spacing w:after="122"/>
              <w:jc w:val="center"/>
              <w:rPr>
                <w:rFonts w:ascii="Marianne" w:hAnsi="Marianne"/>
                <w:b/>
                <w:iCs/>
                <w:color w:val="FFFFFF" w:themeColor="background1"/>
                <w:sz w:val="18"/>
                <w:szCs w:val="20"/>
              </w:rPr>
            </w:pPr>
            <w:r w:rsidRPr="00542B0A">
              <w:rPr>
                <w:rFonts w:ascii="Marianne" w:hAnsi="Marianne"/>
                <w:b/>
                <w:iCs/>
                <w:color w:val="FFFFFF" w:themeColor="background1"/>
                <w:sz w:val="18"/>
                <w:szCs w:val="20"/>
              </w:rPr>
              <w:t>Questions</w:t>
            </w:r>
          </w:p>
        </w:tc>
        <w:tc>
          <w:tcPr>
            <w:tcW w:w="23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4546A" w:themeFill="text2"/>
            <w:vAlign w:val="center"/>
          </w:tcPr>
          <w:p w:rsidR="009A12E9" w:rsidRPr="00542B0A" w:rsidRDefault="009A12E9" w:rsidP="009A12E9">
            <w:pPr>
              <w:jc w:val="center"/>
              <w:rPr>
                <w:rFonts w:ascii="Marianne" w:hAnsi="Marianne" w:cs="Arial"/>
                <w:b/>
                <w:color w:val="FFFFFF" w:themeColor="background1"/>
                <w:sz w:val="18"/>
              </w:rPr>
            </w:pPr>
            <w:r w:rsidRPr="00542B0A">
              <w:rPr>
                <w:rFonts w:ascii="Marianne" w:hAnsi="Marianne" w:cs="Arial"/>
                <w:b/>
                <w:color w:val="FFFFFF" w:themeColor="background1"/>
                <w:sz w:val="18"/>
              </w:rPr>
              <w:t>Constats</w:t>
            </w:r>
          </w:p>
        </w:tc>
        <w:tc>
          <w:tcPr>
            <w:tcW w:w="32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546A" w:themeFill="text2"/>
            <w:vAlign w:val="center"/>
          </w:tcPr>
          <w:p w:rsidR="009A12E9" w:rsidRPr="00542B0A" w:rsidRDefault="009A12E9" w:rsidP="009A12E9">
            <w:pPr>
              <w:jc w:val="center"/>
              <w:rPr>
                <w:rFonts w:ascii="Marianne" w:hAnsi="Marianne" w:cs="Arial"/>
                <w:b/>
                <w:i/>
                <w:color w:val="FFFFFF" w:themeColor="background1"/>
                <w:sz w:val="18"/>
              </w:rPr>
            </w:pPr>
            <w:r w:rsidRPr="00542B0A">
              <w:rPr>
                <w:rFonts w:ascii="Marianne" w:hAnsi="Marianne" w:cs="Arial"/>
                <w:b/>
                <w:color w:val="FFFFFF" w:themeColor="background1"/>
                <w:sz w:val="18"/>
              </w:rPr>
              <w:t>Recommandations / Actions à prendre</w:t>
            </w:r>
            <w:r w:rsidRPr="00542B0A">
              <w:rPr>
                <w:rFonts w:ascii="Marianne" w:hAnsi="Marianne" w:cs="Arial"/>
                <w:b/>
                <w:color w:val="FFFFFF" w:themeColor="background1"/>
                <w:sz w:val="18"/>
              </w:rPr>
              <w:br/>
            </w:r>
            <w:r w:rsidRPr="00542B0A">
              <w:rPr>
                <w:rFonts w:ascii="Marianne" w:hAnsi="Marianne" w:cs="Arial"/>
                <w:b/>
                <w:i/>
                <w:color w:val="FFFFFF" w:themeColor="background1"/>
                <w:sz w:val="18"/>
              </w:rPr>
              <w:t>- à remplir après l’exercice</w:t>
            </w:r>
          </w:p>
        </w:tc>
      </w:tr>
      <w:tr w:rsidR="009A12E9" w:rsidRPr="00542B0A" w:rsidTr="009A12E9">
        <w:tc>
          <w:tcPr>
            <w:tcW w:w="248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:rsidR="009A12E9" w:rsidRPr="00542B0A" w:rsidRDefault="009A12E9" w:rsidP="004D4220">
            <w:pPr>
              <w:rPr>
                <w:rFonts w:ascii="Marianne" w:hAnsi="Marianne" w:cstheme="minorHAnsi"/>
                <w:b/>
                <w:sz w:val="18"/>
              </w:rPr>
            </w:pPr>
            <w:r w:rsidRPr="00542B0A">
              <w:rPr>
                <w:rFonts w:ascii="Marianne" w:hAnsi="Marianne" w:cstheme="minorHAnsi"/>
                <w:b/>
                <w:sz w:val="18"/>
              </w:rPr>
              <w:t>Gestion des impacts de la crise</w:t>
            </w:r>
          </w:p>
          <w:p w:rsidR="009A12E9" w:rsidRPr="00542B0A" w:rsidRDefault="009A12E9" w:rsidP="00495D18">
            <w:pPr>
              <w:pStyle w:val="Paragraphedeliste"/>
              <w:numPr>
                <w:ilvl w:val="0"/>
                <w:numId w:val="1"/>
              </w:numPr>
              <w:ind w:left="470" w:hanging="357"/>
              <w:rPr>
                <w:rFonts w:ascii="Marianne" w:hAnsi="Marianne" w:cstheme="minorHAnsi"/>
                <w:sz w:val="18"/>
              </w:rPr>
            </w:pPr>
            <w:r w:rsidRPr="00542B0A">
              <w:rPr>
                <w:rFonts w:ascii="Marianne" w:hAnsi="Marianne" w:cstheme="minorHAnsi"/>
                <w:sz w:val="18"/>
              </w:rPr>
              <w:t>Qualification et évaluation des impacts</w:t>
            </w:r>
          </w:p>
          <w:p w:rsidR="009A12E9" w:rsidRPr="00542B0A" w:rsidRDefault="009A12E9" w:rsidP="00495D18">
            <w:pPr>
              <w:pStyle w:val="Paragraphedeliste"/>
              <w:numPr>
                <w:ilvl w:val="0"/>
                <w:numId w:val="1"/>
              </w:numPr>
              <w:ind w:left="470" w:hanging="357"/>
              <w:rPr>
                <w:rFonts w:ascii="Marianne" w:hAnsi="Marianne" w:cstheme="minorHAnsi"/>
                <w:sz w:val="18"/>
              </w:rPr>
            </w:pPr>
            <w:r w:rsidRPr="00542B0A">
              <w:rPr>
                <w:rFonts w:ascii="Marianne" w:hAnsi="Marianne" w:cstheme="minorHAnsi"/>
                <w:sz w:val="18"/>
              </w:rPr>
              <w:t>Processus d’alerte et d’escalade</w:t>
            </w:r>
          </w:p>
          <w:p w:rsidR="009A12E9" w:rsidRPr="00542B0A" w:rsidRDefault="009A12E9" w:rsidP="00495D18">
            <w:pPr>
              <w:pStyle w:val="Paragraphedeliste"/>
              <w:numPr>
                <w:ilvl w:val="0"/>
                <w:numId w:val="1"/>
              </w:numPr>
              <w:ind w:left="470" w:hanging="357"/>
              <w:rPr>
                <w:rFonts w:ascii="Marianne" w:hAnsi="Marianne" w:cstheme="minorHAnsi"/>
                <w:b/>
                <w:sz w:val="18"/>
              </w:rPr>
            </w:pPr>
            <w:r w:rsidRPr="00542B0A">
              <w:rPr>
                <w:rFonts w:ascii="Marianne" w:hAnsi="Marianne" w:cstheme="minorHAnsi"/>
                <w:sz w:val="18"/>
              </w:rPr>
              <w:t>Suivi des impacts dans le temps</w:t>
            </w:r>
            <w:r w:rsidRPr="00542B0A">
              <w:rPr>
                <w:rFonts w:ascii="Marianne" w:hAnsi="Marianne" w:cstheme="minorHAnsi"/>
                <w:b/>
                <w:sz w:val="18"/>
              </w:rPr>
              <w:t xml:space="preserve"> </w:t>
            </w:r>
          </w:p>
        </w:tc>
        <w:tc>
          <w:tcPr>
            <w:tcW w:w="3310" w:type="dxa"/>
            <w:vMerge w:val="restart"/>
            <w:tcBorders>
              <w:top w:val="single" w:sz="12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  <w:szCs w:val="20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Evaluation de la gestion des impacts de la crise (entre 1 –Très mauvaise et 5 – Très bonne)</w:t>
            </w:r>
          </w:p>
        </w:tc>
        <w:tc>
          <w:tcPr>
            <w:tcW w:w="2384" w:type="dxa"/>
            <w:tcBorders>
              <w:top w:val="single" w:sz="12" w:space="0" w:color="auto"/>
            </w:tcBorders>
          </w:tcPr>
          <w:p w:rsidR="009A12E9" w:rsidRPr="00542B0A" w:rsidRDefault="009A12E9">
            <w:pPr>
              <w:rPr>
                <w:rFonts w:ascii="Marianne" w:hAnsi="Marianne" w:cstheme="minorHAnsi"/>
                <w:sz w:val="18"/>
              </w:rPr>
            </w:pPr>
          </w:p>
        </w:tc>
        <w:tc>
          <w:tcPr>
            <w:tcW w:w="32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9A12E9" w:rsidRPr="00542B0A" w:rsidRDefault="009A12E9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c>
          <w:tcPr>
            <w:tcW w:w="2487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</w:tcPr>
          <w:p w:rsidR="009A12E9" w:rsidRPr="00542B0A" w:rsidRDefault="009A12E9">
            <w:pPr>
              <w:rPr>
                <w:rFonts w:ascii="Marianne" w:hAnsi="Marianne" w:cstheme="minorHAnsi"/>
                <w:sz w:val="18"/>
              </w:rPr>
            </w:pPr>
          </w:p>
        </w:tc>
        <w:tc>
          <w:tcPr>
            <w:tcW w:w="3310" w:type="dxa"/>
            <w:vMerge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Eléments de réussite dans la gestion des impacts de la crise</w:t>
            </w:r>
          </w:p>
        </w:tc>
        <w:tc>
          <w:tcPr>
            <w:tcW w:w="2384" w:type="dxa"/>
          </w:tcPr>
          <w:p w:rsidR="009A12E9" w:rsidRPr="00542B0A" w:rsidRDefault="009A12E9">
            <w:pPr>
              <w:rPr>
                <w:rFonts w:ascii="Marianne" w:hAnsi="Marianne" w:cstheme="minorHAnsi"/>
                <w:sz w:val="18"/>
              </w:rPr>
            </w:pPr>
          </w:p>
        </w:tc>
        <w:tc>
          <w:tcPr>
            <w:tcW w:w="3241" w:type="dxa"/>
            <w:tcBorders>
              <w:right w:val="single" w:sz="12" w:space="0" w:color="auto"/>
            </w:tcBorders>
          </w:tcPr>
          <w:p w:rsidR="009A12E9" w:rsidRPr="00542B0A" w:rsidRDefault="009A12E9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c>
          <w:tcPr>
            <w:tcW w:w="2487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</w:tcPr>
          <w:p w:rsidR="009A12E9" w:rsidRPr="00542B0A" w:rsidRDefault="009A12E9">
            <w:pPr>
              <w:rPr>
                <w:rFonts w:ascii="Marianne" w:hAnsi="Marianne" w:cstheme="minorHAnsi"/>
                <w:sz w:val="18"/>
              </w:rPr>
            </w:pPr>
          </w:p>
        </w:tc>
        <w:tc>
          <w:tcPr>
            <w:tcW w:w="3310" w:type="dxa"/>
            <w:vMerge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Points d’amélioration dans la gestion des impacts de la crise</w:t>
            </w:r>
          </w:p>
        </w:tc>
        <w:tc>
          <w:tcPr>
            <w:tcW w:w="2384" w:type="dxa"/>
          </w:tcPr>
          <w:p w:rsidR="009A12E9" w:rsidRPr="00542B0A" w:rsidRDefault="009A12E9">
            <w:pPr>
              <w:rPr>
                <w:rFonts w:ascii="Marianne" w:hAnsi="Marianne" w:cstheme="minorHAnsi"/>
                <w:sz w:val="18"/>
              </w:rPr>
            </w:pPr>
          </w:p>
        </w:tc>
        <w:tc>
          <w:tcPr>
            <w:tcW w:w="3241" w:type="dxa"/>
            <w:tcBorders>
              <w:right w:val="single" w:sz="12" w:space="0" w:color="auto"/>
            </w:tcBorders>
          </w:tcPr>
          <w:p w:rsidR="009A12E9" w:rsidRPr="00542B0A" w:rsidRDefault="009A12E9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c>
          <w:tcPr>
            <w:tcW w:w="248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:rsidR="009A12E9" w:rsidRPr="00542B0A" w:rsidRDefault="009A12E9">
            <w:pPr>
              <w:rPr>
                <w:rFonts w:ascii="Marianne" w:hAnsi="Marianne" w:cstheme="minorHAnsi"/>
                <w:sz w:val="18"/>
              </w:rPr>
            </w:pPr>
          </w:p>
        </w:tc>
        <w:tc>
          <w:tcPr>
            <w:tcW w:w="3310" w:type="dxa"/>
            <w:vMerge/>
            <w:tcBorders>
              <w:bottom w:val="single" w:sz="12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  <w:szCs w:val="20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Commentaires libres</w:t>
            </w:r>
          </w:p>
        </w:tc>
        <w:tc>
          <w:tcPr>
            <w:tcW w:w="5625" w:type="dxa"/>
            <w:gridSpan w:val="2"/>
            <w:tcBorders>
              <w:right w:val="single" w:sz="12" w:space="0" w:color="auto"/>
            </w:tcBorders>
          </w:tcPr>
          <w:p w:rsidR="009A12E9" w:rsidRPr="00542B0A" w:rsidRDefault="009A12E9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c>
          <w:tcPr>
            <w:tcW w:w="248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:rsidR="009A12E9" w:rsidRPr="00542B0A" w:rsidRDefault="009A12E9" w:rsidP="00562EBB">
            <w:pPr>
              <w:rPr>
                <w:rFonts w:ascii="Marianne" w:hAnsi="Marianne" w:cstheme="minorHAnsi"/>
                <w:b/>
                <w:sz w:val="18"/>
              </w:rPr>
            </w:pPr>
            <w:r w:rsidRPr="00542B0A">
              <w:rPr>
                <w:rFonts w:ascii="Marianne" w:hAnsi="Marianne" w:cstheme="minorHAnsi"/>
                <w:b/>
                <w:sz w:val="18"/>
              </w:rPr>
              <w:t>Coopération au sein des cellules de crise</w:t>
            </w:r>
          </w:p>
          <w:p w:rsidR="009A12E9" w:rsidRPr="00542B0A" w:rsidRDefault="009A12E9" w:rsidP="00495D18">
            <w:pPr>
              <w:pStyle w:val="Paragraphedeliste"/>
              <w:numPr>
                <w:ilvl w:val="0"/>
                <w:numId w:val="1"/>
              </w:numPr>
              <w:ind w:left="470" w:hanging="357"/>
              <w:rPr>
                <w:rFonts w:ascii="Marianne" w:hAnsi="Marianne" w:cstheme="minorHAnsi"/>
                <w:sz w:val="18"/>
              </w:rPr>
            </w:pPr>
            <w:r w:rsidRPr="00542B0A">
              <w:rPr>
                <w:rFonts w:ascii="Marianne" w:hAnsi="Marianne" w:cstheme="minorHAnsi"/>
                <w:sz w:val="18"/>
              </w:rPr>
              <w:t>Qualité des échanges</w:t>
            </w:r>
          </w:p>
          <w:p w:rsidR="009A12E9" w:rsidRPr="00542B0A" w:rsidRDefault="009A12E9" w:rsidP="00495D18">
            <w:pPr>
              <w:pStyle w:val="Paragraphedeliste"/>
              <w:numPr>
                <w:ilvl w:val="0"/>
                <w:numId w:val="1"/>
              </w:numPr>
              <w:ind w:left="470" w:hanging="357"/>
              <w:rPr>
                <w:rFonts w:ascii="Marianne" w:hAnsi="Marianne" w:cstheme="minorHAnsi"/>
                <w:sz w:val="18"/>
              </w:rPr>
            </w:pPr>
            <w:r w:rsidRPr="00542B0A">
              <w:rPr>
                <w:rFonts w:ascii="Marianne" w:hAnsi="Marianne" w:cstheme="minorHAnsi"/>
                <w:sz w:val="18"/>
              </w:rPr>
              <w:t>Processus de prise de décision</w:t>
            </w:r>
          </w:p>
          <w:p w:rsidR="009A12E9" w:rsidRPr="00542B0A" w:rsidRDefault="009A12E9" w:rsidP="00495D18">
            <w:pPr>
              <w:pStyle w:val="Paragraphedeliste"/>
              <w:numPr>
                <w:ilvl w:val="0"/>
                <w:numId w:val="1"/>
              </w:numPr>
              <w:ind w:left="470" w:hanging="357"/>
              <w:rPr>
                <w:rFonts w:ascii="Marianne" w:hAnsi="Marianne" w:cstheme="minorHAnsi"/>
                <w:sz w:val="18"/>
              </w:rPr>
            </w:pPr>
            <w:r w:rsidRPr="00542B0A">
              <w:rPr>
                <w:rFonts w:ascii="Marianne" w:hAnsi="Marianne" w:cstheme="minorHAnsi"/>
                <w:sz w:val="18"/>
              </w:rPr>
              <w:t>Suivi des actions intra-cellules</w:t>
            </w:r>
          </w:p>
        </w:tc>
        <w:tc>
          <w:tcPr>
            <w:tcW w:w="3310" w:type="dxa"/>
            <w:vMerge w:val="restart"/>
            <w:tcBorders>
              <w:top w:val="single" w:sz="12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  <w:szCs w:val="20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Evaluation de la coopération au sein des cellules de crise (entre 1 –Très mauvaise et 5 – Excellente)</w:t>
            </w:r>
          </w:p>
        </w:tc>
        <w:tc>
          <w:tcPr>
            <w:tcW w:w="2384" w:type="dxa"/>
            <w:tcBorders>
              <w:top w:val="single" w:sz="12" w:space="0" w:color="auto"/>
            </w:tcBorders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  <w:tc>
          <w:tcPr>
            <w:tcW w:w="3241" w:type="dxa"/>
            <w:tcBorders>
              <w:right w:val="single" w:sz="12" w:space="0" w:color="auto"/>
            </w:tcBorders>
            <w:shd w:val="clear" w:color="auto" w:fill="000000" w:themeFill="text1"/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c>
          <w:tcPr>
            <w:tcW w:w="2487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:rsidR="009A12E9" w:rsidRPr="00542B0A" w:rsidRDefault="009A12E9" w:rsidP="00562EBB">
            <w:pPr>
              <w:rPr>
                <w:rFonts w:ascii="Marianne" w:hAnsi="Marianne" w:cstheme="minorHAnsi"/>
                <w:b/>
                <w:sz w:val="18"/>
              </w:rPr>
            </w:pPr>
          </w:p>
        </w:tc>
        <w:tc>
          <w:tcPr>
            <w:tcW w:w="3310" w:type="dxa"/>
            <w:vMerge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Eléments de réussite dans la coopération au sein des cellules de crise</w:t>
            </w:r>
          </w:p>
        </w:tc>
        <w:tc>
          <w:tcPr>
            <w:tcW w:w="2384" w:type="dxa"/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  <w:tc>
          <w:tcPr>
            <w:tcW w:w="3241" w:type="dxa"/>
            <w:tcBorders>
              <w:right w:val="single" w:sz="12" w:space="0" w:color="auto"/>
            </w:tcBorders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c>
          <w:tcPr>
            <w:tcW w:w="2487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:rsidR="009A12E9" w:rsidRPr="00542B0A" w:rsidRDefault="009A12E9" w:rsidP="00562EBB">
            <w:pPr>
              <w:rPr>
                <w:rFonts w:ascii="Marianne" w:hAnsi="Marianne" w:cstheme="minorHAnsi"/>
                <w:b/>
                <w:sz w:val="18"/>
              </w:rPr>
            </w:pPr>
          </w:p>
        </w:tc>
        <w:tc>
          <w:tcPr>
            <w:tcW w:w="3310" w:type="dxa"/>
            <w:vMerge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Points d’amélioration dans la coopération au sein des cellules de crise</w:t>
            </w:r>
          </w:p>
        </w:tc>
        <w:tc>
          <w:tcPr>
            <w:tcW w:w="2384" w:type="dxa"/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  <w:tc>
          <w:tcPr>
            <w:tcW w:w="3241" w:type="dxa"/>
            <w:tcBorders>
              <w:right w:val="single" w:sz="12" w:space="0" w:color="auto"/>
            </w:tcBorders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c>
          <w:tcPr>
            <w:tcW w:w="248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A12E9" w:rsidRPr="00542B0A" w:rsidRDefault="009A12E9" w:rsidP="00562EBB">
            <w:pPr>
              <w:rPr>
                <w:rFonts w:ascii="Marianne" w:hAnsi="Marianne" w:cstheme="minorHAnsi"/>
                <w:b/>
                <w:sz w:val="18"/>
              </w:rPr>
            </w:pPr>
          </w:p>
        </w:tc>
        <w:tc>
          <w:tcPr>
            <w:tcW w:w="3310" w:type="dxa"/>
            <w:vMerge/>
            <w:tcBorders>
              <w:bottom w:val="single" w:sz="12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  <w:szCs w:val="20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Commentaires libres</w:t>
            </w:r>
          </w:p>
        </w:tc>
        <w:tc>
          <w:tcPr>
            <w:tcW w:w="562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c>
          <w:tcPr>
            <w:tcW w:w="24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A12E9" w:rsidRPr="00542B0A" w:rsidRDefault="009A12E9" w:rsidP="00562EBB">
            <w:pPr>
              <w:rPr>
                <w:rFonts w:ascii="Marianne" w:hAnsi="Marianne" w:cstheme="minorHAnsi"/>
                <w:b/>
                <w:sz w:val="18"/>
              </w:rPr>
            </w:pPr>
            <w:r w:rsidRPr="00542B0A">
              <w:rPr>
                <w:rFonts w:ascii="Marianne" w:hAnsi="Marianne" w:cstheme="minorHAnsi"/>
                <w:b/>
                <w:sz w:val="18"/>
              </w:rPr>
              <w:t>Coopération entre les cellules de crise</w:t>
            </w:r>
          </w:p>
          <w:p w:rsidR="009A12E9" w:rsidRPr="00542B0A" w:rsidRDefault="009A12E9" w:rsidP="00495D18">
            <w:pPr>
              <w:pStyle w:val="Paragraphedeliste"/>
              <w:numPr>
                <w:ilvl w:val="0"/>
                <w:numId w:val="1"/>
              </w:numPr>
              <w:ind w:left="470" w:hanging="357"/>
              <w:rPr>
                <w:rFonts w:ascii="Marianne" w:hAnsi="Marianne" w:cstheme="minorHAnsi"/>
                <w:b/>
                <w:sz w:val="18"/>
              </w:rPr>
            </w:pPr>
            <w:r w:rsidRPr="00542B0A">
              <w:rPr>
                <w:rFonts w:ascii="Marianne" w:hAnsi="Marianne" w:cstheme="minorHAnsi"/>
                <w:sz w:val="18"/>
              </w:rPr>
              <w:t>Construction d’une vision commune de la situation</w:t>
            </w:r>
          </w:p>
          <w:p w:rsidR="009A12E9" w:rsidRPr="00542B0A" w:rsidRDefault="009A12E9" w:rsidP="00495D18">
            <w:pPr>
              <w:pStyle w:val="Paragraphedeliste"/>
              <w:numPr>
                <w:ilvl w:val="0"/>
                <w:numId w:val="1"/>
              </w:numPr>
              <w:ind w:left="470" w:hanging="357"/>
              <w:rPr>
                <w:rFonts w:ascii="Marianne" w:hAnsi="Marianne" w:cstheme="minorHAnsi"/>
                <w:sz w:val="18"/>
              </w:rPr>
            </w:pPr>
            <w:r w:rsidRPr="00542B0A">
              <w:rPr>
                <w:rFonts w:ascii="Marianne" w:hAnsi="Marianne" w:cstheme="minorHAnsi"/>
                <w:sz w:val="18"/>
              </w:rPr>
              <w:t>Régularité et qualité des échanges</w:t>
            </w:r>
          </w:p>
          <w:p w:rsidR="009A12E9" w:rsidRPr="00542B0A" w:rsidRDefault="009A12E9" w:rsidP="00495D18">
            <w:pPr>
              <w:pStyle w:val="Paragraphedeliste"/>
              <w:numPr>
                <w:ilvl w:val="0"/>
                <w:numId w:val="1"/>
              </w:numPr>
              <w:ind w:left="470" w:hanging="357"/>
              <w:rPr>
                <w:rFonts w:ascii="Marianne" w:hAnsi="Marianne" w:cstheme="minorHAnsi"/>
                <w:sz w:val="18"/>
              </w:rPr>
            </w:pPr>
            <w:r w:rsidRPr="00542B0A">
              <w:rPr>
                <w:rFonts w:ascii="Marianne" w:hAnsi="Marianne" w:cstheme="minorHAnsi"/>
                <w:sz w:val="18"/>
              </w:rPr>
              <w:lastRenderedPageBreak/>
              <w:t>Suivi des actions entre cellules</w:t>
            </w:r>
          </w:p>
        </w:tc>
        <w:tc>
          <w:tcPr>
            <w:tcW w:w="33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  <w:szCs w:val="20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Evaluation de la coopération entre cellules de crise (entre 1 –Très mauvaise et 5 – Excellente)</w:t>
            </w:r>
          </w:p>
        </w:tc>
        <w:tc>
          <w:tcPr>
            <w:tcW w:w="2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c>
          <w:tcPr>
            <w:tcW w:w="248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A12E9" w:rsidRPr="00542B0A" w:rsidRDefault="009A12E9" w:rsidP="00562EBB">
            <w:pPr>
              <w:rPr>
                <w:rFonts w:ascii="Marianne" w:hAnsi="Marianne" w:cstheme="minorHAnsi"/>
                <w:b/>
                <w:sz w:val="18"/>
              </w:rPr>
            </w:pPr>
          </w:p>
        </w:tc>
        <w:tc>
          <w:tcPr>
            <w:tcW w:w="3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Eléments de réussite dans la coopération entre cellules de crise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c>
          <w:tcPr>
            <w:tcW w:w="248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A12E9" w:rsidRPr="00542B0A" w:rsidRDefault="009A12E9" w:rsidP="00562EBB">
            <w:pPr>
              <w:rPr>
                <w:rFonts w:ascii="Marianne" w:hAnsi="Marianne" w:cstheme="minorHAnsi"/>
                <w:b/>
                <w:sz w:val="18"/>
              </w:rPr>
            </w:pPr>
          </w:p>
        </w:tc>
        <w:tc>
          <w:tcPr>
            <w:tcW w:w="3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Points d’amélioration la coopération entre cellules de crise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c>
          <w:tcPr>
            <w:tcW w:w="24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A12E9" w:rsidRPr="00542B0A" w:rsidRDefault="009A12E9" w:rsidP="00562EBB">
            <w:pPr>
              <w:rPr>
                <w:rFonts w:ascii="Marianne" w:hAnsi="Marianne" w:cstheme="minorHAnsi"/>
                <w:b/>
                <w:sz w:val="18"/>
              </w:rPr>
            </w:pPr>
          </w:p>
        </w:tc>
        <w:tc>
          <w:tcPr>
            <w:tcW w:w="33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  <w:szCs w:val="20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Commentaires libres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c>
          <w:tcPr>
            <w:tcW w:w="248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9A12E9" w:rsidRPr="00542B0A" w:rsidRDefault="009A12E9" w:rsidP="00562EBB">
            <w:pPr>
              <w:rPr>
                <w:rFonts w:ascii="Marianne" w:hAnsi="Marianne" w:cstheme="minorHAnsi"/>
                <w:b/>
                <w:sz w:val="18"/>
              </w:rPr>
            </w:pPr>
            <w:r w:rsidRPr="00542B0A">
              <w:rPr>
                <w:rFonts w:ascii="Marianne" w:hAnsi="Marianne" w:cstheme="minorHAnsi"/>
                <w:b/>
                <w:sz w:val="18"/>
              </w:rPr>
              <w:t>Coopération avec de l’écosystème</w:t>
            </w:r>
          </w:p>
          <w:p w:rsidR="009A12E9" w:rsidRPr="00542B0A" w:rsidRDefault="009A12E9" w:rsidP="00B16CEA">
            <w:pPr>
              <w:pStyle w:val="Paragraphedeliste"/>
              <w:numPr>
                <w:ilvl w:val="0"/>
                <w:numId w:val="1"/>
              </w:numPr>
              <w:ind w:left="470" w:hanging="357"/>
              <w:rPr>
                <w:rFonts w:ascii="Marianne" w:hAnsi="Marianne" w:cstheme="minorHAnsi"/>
                <w:b/>
                <w:sz w:val="18"/>
              </w:rPr>
            </w:pPr>
            <w:r w:rsidRPr="00542B0A">
              <w:rPr>
                <w:rFonts w:ascii="Marianne" w:hAnsi="Marianne" w:cstheme="minorHAnsi"/>
                <w:sz w:val="18"/>
              </w:rPr>
              <w:t>Collaboration avec le cercle de confiance</w:t>
            </w:r>
          </w:p>
          <w:p w:rsidR="009A12E9" w:rsidRPr="00542B0A" w:rsidRDefault="009A12E9" w:rsidP="00B16CEA">
            <w:pPr>
              <w:pStyle w:val="Paragraphedeliste"/>
              <w:numPr>
                <w:ilvl w:val="0"/>
                <w:numId w:val="1"/>
              </w:numPr>
              <w:ind w:left="470" w:hanging="357"/>
              <w:rPr>
                <w:rFonts w:ascii="Marianne" w:hAnsi="Marianne" w:cstheme="minorHAnsi"/>
                <w:b/>
                <w:sz w:val="18"/>
              </w:rPr>
            </w:pPr>
            <w:r w:rsidRPr="00542B0A">
              <w:rPr>
                <w:rFonts w:ascii="Marianne" w:hAnsi="Marianne" w:cstheme="minorHAnsi"/>
                <w:sz w:val="18"/>
              </w:rPr>
              <w:t>Communication avec les parties prenantes (clients, fournisseurs, régulateurs)</w:t>
            </w:r>
          </w:p>
        </w:tc>
        <w:tc>
          <w:tcPr>
            <w:tcW w:w="3310" w:type="dxa"/>
            <w:vMerge w:val="restart"/>
            <w:tcBorders>
              <w:top w:val="single" w:sz="12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  <w:szCs w:val="20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Evaluation de la coopération avec l’écosystème (entre 1 –Très mauvaise et 5 – Excellente)</w:t>
            </w:r>
          </w:p>
        </w:tc>
        <w:tc>
          <w:tcPr>
            <w:tcW w:w="2384" w:type="dxa"/>
            <w:tcBorders>
              <w:top w:val="single" w:sz="12" w:space="0" w:color="auto"/>
            </w:tcBorders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  <w:tc>
          <w:tcPr>
            <w:tcW w:w="32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c>
          <w:tcPr>
            <w:tcW w:w="2487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9A12E9" w:rsidRPr="00542B0A" w:rsidRDefault="009A12E9" w:rsidP="00562EBB">
            <w:pPr>
              <w:rPr>
                <w:rFonts w:ascii="Marianne" w:hAnsi="Marianne" w:cstheme="minorHAnsi"/>
                <w:b/>
                <w:sz w:val="18"/>
              </w:rPr>
            </w:pPr>
          </w:p>
        </w:tc>
        <w:tc>
          <w:tcPr>
            <w:tcW w:w="3310" w:type="dxa"/>
            <w:vMerge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Eléments de réussite dans la coopération avec l’écosystème</w:t>
            </w:r>
          </w:p>
        </w:tc>
        <w:tc>
          <w:tcPr>
            <w:tcW w:w="2384" w:type="dxa"/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  <w:tc>
          <w:tcPr>
            <w:tcW w:w="3241" w:type="dxa"/>
            <w:tcBorders>
              <w:right w:val="single" w:sz="12" w:space="0" w:color="auto"/>
            </w:tcBorders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c>
          <w:tcPr>
            <w:tcW w:w="2487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9A12E9" w:rsidRPr="00542B0A" w:rsidRDefault="009A12E9" w:rsidP="00562EBB">
            <w:pPr>
              <w:rPr>
                <w:rFonts w:ascii="Marianne" w:hAnsi="Marianne" w:cstheme="minorHAnsi"/>
                <w:b/>
                <w:sz w:val="18"/>
              </w:rPr>
            </w:pPr>
          </w:p>
        </w:tc>
        <w:tc>
          <w:tcPr>
            <w:tcW w:w="3310" w:type="dxa"/>
            <w:vMerge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Points d’amélioration dans la coopération avec l’écosystème</w:t>
            </w:r>
          </w:p>
        </w:tc>
        <w:tc>
          <w:tcPr>
            <w:tcW w:w="2384" w:type="dxa"/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  <w:tc>
          <w:tcPr>
            <w:tcW w:w="3241" w:type="dxa"/>
            <w:tcBorders>
              <w:right w:val="single" w:sz="12" w:space="0" w:color="auto"/>
            </w:tcBorders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c>
          <w:tcPr>
            <w:tcW w:w="2487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9A12E9" w:rsidRPr="00542B0A" w:rsidRDefault="009A12E9" w:rsidP="00562EBB">
            <w:pPr>
              <w:rPr>
                <w:rFonts w:ascii="Marianne" w:hAnsi="Marianne" w:cstheme="minorHAnsi"/>
                <w:b/>
                <w:sz w:val="18"/>
              </w:rPr>
            </w:pPr>
          </w:p>
        </w:tc>
        <w:tc>
          <w:tcPr>
            <w:tcW w:w="3310" w:type="dxa"/>
            <w:vMerge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  <w:szCs w:val="20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Commentaires libres</w:t>
            </w:r>
          </w:p>
        </w:tc>
        <w:tc>
          <w:tcPr>
            <w:tcW w:w="5625" w:type="dxa"/>
            <w:gridSpan w:val="2"/>
            <w:tcBorders>
              <w:right w:val="single" w:sz="12" w:space="0" w:color="auto"/>
            </w:tcBorders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c>
          <w:tcPr>
            <w:tcW w:w="248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CD4F2"/>
            <w:vAlign w:val="center"/>
          </w:tcPr>
          <w:p w:rsidR="009A12E9" w:rsidRPr="00542B0A" w:rsidRDefault="009A12E9" w:rsidP="00562EBB">
            <w:pPr>
              <w:rPr>
                <w:rFonts w:ascii="Marianne" w:hAnsi="Marianne" w:cstheme="minorHAnsi"/>
                <w:b/>
                <w:sz w:val="18"/>
              </w:rPr>
            </w:pPr>
            <w:r w:rsidRPr="00542B0A">
              <w:rPr>
                <w:rFonts w:ascii="Marianne" w:hAnsi="Marianne" w:cstheme="minorHAnsi"/>
                <w:b/>
                <w:sz w:val="18"/>
              </w:rPr>
              <w:t>Enjeux du Blackout numérique pour l’organisation</w:t>
            </w:r>
          </w:p>
          <w:p w:rsidR="009A12E9" w:rsidRPr="00542B0A" w:rsidRDefault="009A12E9" w:rsidP="00B16CEA">
            <w:pPr>
              <w:pStyle w:val="Paragraphedeliste"/>
              <w:numPr>
                <w:ilvl w:val="0"/>
                <w:numId w:val="1"/>
              </w:numPr>
              <w:ind w:left="470" w:hanging="357"/>
              <w:rPr>
                <w:rFonts w:ascii="Marianne" w:hAnsi="Marianne" w:cstheme="minorHAnsi"/>
                <w:b/>
                <w:sz w:val="18"/>
              </w:rPr>
            </w:pPr>
            <w:r w:rsidRPr="00542B0A">
              <w:rPr>
                <w:rFonts w:ascii="Marianne" w:hAnsi="Marianne" w:cstheme="minorHAnsi"/>
                <w:sz w:val="18"/>
              </w:rPr>
              <w:t>Identification des impacts d’un Blackout numérique sur les services et activités</w:t>
            </w:r>
          </w:p>
          <w:p w:rsidR="009A12E9" w:rsidRPr="00542B0A" w:rsidRDefault="009A12E9" w:rsidP="00B16CEA">
            <w:pPr>
              <w:pStyle w:val="Paragraphedeliste"/>
              <w:numPr>
                <w:ilvl w:val="0"/>
                <w:numId w:val="1"/>
              </w:numPr>
              <w:ind w:left="470" w:hanging="357"/>
              <w:rPr>
                <w:rFonts w:ascii="Marianne" w:hAnsi="Marianne" w:cstheme="minorHAnsi"/>
                <w:b/>
                <w:sz w:val="18"/>
              </w:rPr>
            </w:pPr>
            <w:r w:rsidRPr="00542B0A">
              <w:rPr>
                <w:rFonts w:ascii="Marianne" w:hAnsi="Marianne" w:cstheme="minorHAnsi"/>
                <w:sz w:val="18"/>
              </w:rPr>
              <w:t>Identification des actions à mettre en place pour surpasser un Blackout numérique</w:t>
            </w:r>
          </w:p>
        </w:tc>
        <w:tc>
          <w:tcPr>
            <w:tcW w:w="3310" w:type="dxa"/>
            <w:vMerge w:val="restart"/>
            <w:tcBorders>
              <w:top w:val="single" w:sz="12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  <w:szCs w:val="20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Evaluation de la prise en compte d’un Blackout numérique pour l’organisation (entre 1 –Très mauvaise et 5 – Excellente)</w:t>
            </w:r>
          </w:p>
        </w:tc>
        <w:tc>
          <w:tcPr>
            <w:tcW w:w="2384" w:type="dxa"/>
            <w:tcBorders>
              <w:top w:val="single" w:sz="12" w:space="0" w:color="auto"/>
            </w:tcBorders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  <w:tc>
          <w:tcPr>
            <w:tcW w:w="32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c>
          <w:tcPr>
            <w:tcW w:w="2487" w:type="dxa"/>
            <w:vMerge/>
            <w:tcBorders>
              <w:left w:val="single" w:sz="12" w:space="0" w:color="auto"/>
            </w:tcBorders>
            <w:shd w:val="clear" w:color="auto" w:fill="FCD4F2"/>
            <w:vAlign w:val="center"/>
          </w:tcPr>
          <w:p w:rsidR="009A12E9" w:rsidRPr="00542B0A" w:rsidRDefault="009A12E9" w:rsidP="00562EBB">
            <w:pPr>
              <w:rPr>
                <w:rFonts w:ascii="Marianne" w:hAnsi="Marianne" w:cstheme="minorHAnsi"/>
                <w:b/>
                <w:sz w:val="18"/>
              </w:rPr>
            </w:pPr>
          </w:p>
        </w:tc>
        <w:tc>
          <w:tcPr>
            <w:tcW w:w="3310" w:type="dxa"/>
            <w:vMerge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Eléments de réussite dans la prise en compte d’un Blackout numérique pour l’organisation</w:t>
            </w:r>
          </w:p>
        </w:tc>
        <w:tc>
          <w:tcPr>
            <w:tcW w:w="2384" w:type="dxa"/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  <w:tc>
          <w:tcPr>
            <w:tcW w:w="3241" w:type="dxa"/>
            <w:tcBorders>
              <w:right w:val="single" w:sz="12" w:space="0" w:color="auto"/>
            </w:tcBorders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c>
          <w:tcPr>
            <w:tcW w:w="2487" w:type="dxa"/>
            <w:vMerge/>
            <w:tcBorders>
              <w:left w:val="single" w:sz="12" w:space="0" w:color="auto"/>
            </w:tcBorders>
            <w:shd w:val="clear" w:color="auto" w:fill="FCD4F2"/>
            <w:vAlign w:val="center"/>
          </w:tcPr>
          <w:p w:rsidR="009A12E9" w:rsidRPr="00542B0A" w:rsidRDefault="009A12E9" w:rsidP="00562EBB">
            <w:pPr>
              <w:rPr>
                <w:rFonts w:ascii="Marianne" w:hAnsi="Marianne" w:cstheme="minorHAnsi"/>
                <w:b/>
                <w:sz w:val="18"/>
              </w:rPr>
            </w:pPr>
          </w:p>
        </w:tc>
        <w:tc>
          <w:tcPr>
            <w:tcW w:w="3310" w:type="dxa"/>
            <w:vMerge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Points d’amélioration dans la prise en compte d’un Blackout numérique pour l’organisation</w:t>
            </w:r>
          </w:p>
        </w:tc>
        <w:tc>
          <w:tcPr>
            <w:tcW w:w="2384" w:type="dxa"/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  <w:tc>
          <w:tcPr>
            <w:tcW w:w="3241" w:type="dxa"/>
            <w:tcBorders>
              <w:right w:val="single" w:sz="12" w:space="0" w:color="auto"/>
            </w:tcBorders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c>
          <w:tcPr>
            <w:tcW w:w="248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CD4F2"/>
            <w:vAlign w:val="center"/>
          </w:tcPr>
          <w:p w:rsidR="009A12E9" w:rsidRPr="00542B0A" w:rsidRDefault="009A12E9" w:rsidP="00562EBB">
            <w:pPr>
              <w:rPr>
                <w:rFonts w:ascii="Marianne" w:hAnsi="Marianne" w:cstheme="minorHAnsi"/>
                <w:b/>
                <w:sz w:val="18"/>
              </w:rPr>
            </w:pPr>
          </w:p>
        </w:tc>
        <w:tc>
          <w:tcPr>
            <w:tcW w:w="3310" w:type="dxa"/>
            <w:vMerge/>
            <w:tcBorders>
              <w:bottom w:val="single" w:sz="12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  <w:szCs w:val="20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Commentaires libres</w:t>
            </w:r>
          </w:p>
        </w:tc>
        <w:tc>
          <w:tcPr>
            <w:tcW w:w="562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c>
          <w:tcPr>
            <w:tcW w:w="248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9BDC94"/>
            <w:vAlign w:val="center"/>
          </w:tcPr>
          <w:p w:rsidR="009A12E9" w:rsidRPr="00542B0A" w:rsidRDefault="009A12E9" w:rsidP="00562EBB">
            <w:pPr>
              <w:rPr>
                <w:rFonts w:ascii="Marianne" w:hAnsi="Marianne" w:cstheme="minorHAnsi"/>
                <w:b/>
                <w:sz w:val="18"/>
              </w:rPr>
            </w:pPr>
            <w:r w:rsidRPr="00542B0A">
              <w:rPr>
                <w:rFonts w:ascii="Marianne" w:hAnsi="Marianne" w:cstheme="minorHAnsi"/>
                <w:b/>
                <w:sz w:val="18"/>
              </w:rPr>
              <w:t xml:space="preserve">Continuité d’activité </w:t>
            </w:r>
          </w:p>
          <w:p w:rsidR="009A12E9" w:rsidRPr="00542B0A" w:rsidRDefault="009A12E9" w:rsidP="009A0146">
            <w:pPr>
              <w:pStyle w:val="Paragraphedeliste"/>
              <w:numPr>
                <w:ilvl w:val="0"/>
                <w:numId w:val="1"/>
              </w:numPr>
              <w:ind w:left="470" w:hanging="357"/>
              <w:rPr>
                <w:rFonts w:ascii="Marianne" w:hAnsi="Marianne" w:cstheme="minorHAnsi"/>
                <w:b/>
                <w:sz w:val="18"/>
              </w:rPr>
            </w:pPr>
            <w:r w:rsidRPr="00542B0A">
              <w:rPr>
                <w:rFonts w:ascii="Marianne" w:hAnsi="Marianne" w:cstheme="minorHAnsi"/>
                <w:sz w:val="18"/>
              </w:rPr>
              <w:t>Pertinence du PRA dans le cas d’une crise d’origine cyber</w:t>
            </w:r>
          </w:p>
          <w:p w:rsidR="009A12E9" w:rsidRPr="00542B0A" w:rsidRDefault="009A12E9" w:rsidP="009A0146">
            <w:pPr>
              <w:pStyle w:val="Paragraphedeliste"/>
              <w:numPr>
                <w:ilvl w:val="0"/>
                <w:numId w:val="1"/>
              </w:numPr>
              <w:ind w:left="470" w:hanging="357"/>
              <w:rPr>
                <w:rFonts w:ascii="Marianne" w:hAnsi="Marianne" w:cstheme="minorHAnsi"/>
                <w:b/>
                <w:sz w:val="18"/>
              </w:rPr>
            </w:pPr>
            <w:r w:rsidRPr="00542B0A">
              <w:rPr>
                <w:rFonts w:ascii="Marianne" w:hAnsi="Marianne" w:cstheme="minorHAnsi"/>
                <w:sz w:val="18"/>
              </w:rPr>
              <w:lastRenderedPageBreak/>
              <w:t>Pertinence du PRA dans le cas de la perte de services infonuagiques</w:t>
            </w:r>
          </w:p>
          <w:p w:rsidR="009A12E9" w:rsidRPr="00542B0A" w:rsidRDefault="009A12E9" w:rsidP="009A0146">
            <w:pPr>
              <w:pStyle w:val="Paragraphedeliste"/>
              <w:numPr>
                <w:ilvl w:val="0"/>
                <w:numId w:val="1"/>
              </w:numPr>
              <w:ind w:left="470" w:hanging="357"/>
              <w:rPr>
                <w:rFonts w:ascii="Marianne" w:hAnsi="Marianne" w:cstheme="minorHAnsi"/>
                <w:b/>
                <w:i/>
                <w:sz w:val="18"/>
              </w:rPr>
            </w:pPr>
            <w:r w:rsidRPr="00542B0A">
              <w:rPr>
                <w:rFonts w:ascii="Marianne" w:hAnsi="Marianne" w:cstheme="minorHAnsi"/>
                <w:sz w:val="18"/>
              </w:rPr>
              <w:t>Application du PCA et du PRA</w:t>
            </w:r>
          </w:p>
        </w:tc>
        <w:tc>
          <w:tcPr>
            <w:tcW w:w="3310" w:type="dxa"/>
            <w:vMerge w:val="restart"/>
            <w:tcBorders>
              <w:top w:val="single" w:sz="12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  <w:szCs w:val="20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Evaluation de la continuité d’activité durant la crise (entre 1 –Très mauvaise et 5 – Excellente)</w:t>
            </w:r>
          </w:p>
        </w:tc>
        <w:tc>
          <w:tcPr>
            <w:tcW w:w="2384" w:type="dxa"/>
            <w:tcBorders>
              <w:top w:val="single" w:sz="12" w:space="0" w:color="auto"/>
            </w:tcBorders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  <w:tc>
          <w:tcPr>
            <w:tcW w:w="32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c>
          <w:tcPr>
            <w:tcW w:w="2487" w:type="dxa"/>
            <w:vMerge/>
            <w:tcBorders>
              <w:left w:val="single" w:sz="12" w:space="0" w:color="auto"/>
            </w:tcBorders>
            <w:shd w:val="clear" w:color="auto" w:fill="9BDC94"/>
            <w:vAlign w:val="center"/>
          </w:tcPr>
          <w:p w:rsidR="009A12E9" w:rsidRPr="00542B0A" w:rsidRDefault="009A12E9" w:rsidP="00562EBB">
            <w:pPr>
              <w:rPr>
                <w:rFonts w:ascii="Marianne" w:hAnsi="Marianne" w:cstheme="minorHAnsi"/>
                <w:b/>
                <w:sz w:val="18"/>
              </w:rPr>
            </w:pPr>
          </w:p>
        </w:tc>
        <w:tc>
          <w:tcPr>
            <w:tcW w:w="3310" w:type="dxa"/>
            <w:vMerge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Eléments de réussite de la continuité d’activité durant la crise</w:t>
            </w:r>
          </w:p>
        </w:tc>
        <w:tc>
          <w:tcPr>
            <w:tcW w:w="2384" w:type="dxa"/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  <w:tc>
          <w:tcPr>
            <w:tcW w:w="3241" w:type="dxa"/>
            <w:tcBorders>
              <w:right w:val="single" w:sz="12" w:space="0" w:color="auto"/>
            </w:tcBorders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c>
          <w:tcPr>
            <w:tcW w:w="2487" w:type="dxa"/>
            <w:vMerge/>
            <w:tcBorders>
              <w:left w:val="single" w:sz="12" w:space="0" w:color="auto"/>
            </w:tcBorders>
            <w:shd w:val="clear" w:color="auto" w:fill="9BDC94"/>
            <w:vAlign w:val="center"/>
          </w:tcPr>
          <w:p w:rsidR="009A12E9" w:rsidRPr="00542B0A" w:rsidRDefault="009A12E9" w:rsidP="00562EBB">
            <w:pPr>
              <w:rPr>
                <w:rFonts w:ascii="Marianne" w:hAnsi="Marianne" w:cstheme="minorHAnsi"/>
                <w:b/>
                <w:sz w:val="18"/>
              </w:rPr>
            </w:pPr>
          </w:p>
        </w:tc>
        <w:tc>
          <w:tcPr>
            <w:tcW w:w="3310" w:type="dxa"/>
            <w:vMerge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Points d’amélioration de la continuité d’activité durant la crise</w:t>
            </w:r>
          </w:p>
        </w:tc>
        <w:tc>
          <w:tcPr>
            <w:tcW w:w="2384" w:type="dxa"/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  <w:tc>
          <w:tcPr>
            <w:tcW w:w="3241" w:type="dxa"/>
            <w:tcBorders>
              <w:right w:val="single" w:sz="12" w:space="0" w:color="auto"/>
            </w:tcBorders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c>
          <w:tcPr>
            <w:tcW w:w="248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9BDC94"/>
            <w:vAlign w:val="center"/>
          </w:tcPr>
          <w:p w:rsidR="009A12E9" w:rsidRPr="00542B0A" w:rsidRDefault="009A12E9" w:rsidP="00562EBB">
            <w:pPr>
              <w:rPr>
                <w:rFonts w:ascii="Marianne" w:hAnsi="Marianne" w:cstheme="minorHAnsi"/>
                <w:b/>
                <w:sz w:val="18"/>
              </w:rPr>
            </w:pPr>
          </w:p>
        </w:tc>
        <w:tc>
          <w:tcPr>
            <w:tcW w:w="3310" w:type="dxa"/>
            <w:vMerge/>
            <w:tcBorders>
              <w:bottom w:val="single" w:sz="12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9A12E9" w:rsidRPr="00542B0A" w:rsidRDefault="009A12E9" w:rsidP="00495D18">
            <w:pPr>
              <w:pStyle w:val="Default"/>
              <w:rPr>
                <w:rFonts w:ascii="Marianne" w:hAnsi="Marianne" w:cstheme="minorHAnsi"/>
                <w:sz w:val="18"/>
                <w:szCs w:val="20"/>
              </w:rPr>
            </w:pPr>
            <w:r w:rsidRPr="00542B0A">
              <w:rPr>
                <w:rFonts w:ascii="Marianne" w:hAnsi="Marianne" w:cstheme="minorHAnsi"/>
                <w:i/>
                <w:iCs/>
                <w:sz w:val="18"/>
                <w:szCs w:val="20"/>
              </w:rPr>
              <w:t>Commentaires libres</w:t>
            </w:r>
          </w:p>
        </w:tc>
        <w:tc>
          <w:tcPr>
            <w:tcW w:w="562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A12E9" w:rsidRPr="00542B0A" w:rsidRDefault="009A12E9" w:rsidP="00562EBB">
            <w:pPr>
              <w:rPr>
                <w:rFonts w:ascii="Marianne" w:hAnsi="Marianne" w:cstheme="minorHAnsi"/>
                <w:sz w:val="18"/>
              </w:rPr>
            </w:pPr>
          </w:p>
        </w:tc>
      </w:tr>
      <w:tr w:rsidR="009A12E9" w:rsidRPr="00542B0A" w:rsidTr="009A12E9">
        <w:trPr>
          <w:trHeight w:val="645"/>
        </w:trPr>
        <w:tc>
          <w:tcPr>
            <w:tcW w:w="248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ABC5"/>
            <w:vAlign w:val="center"/>
          </w:tcPr>
          <w:p w:rsidR="009A12E9" w:rsidRPr="00542B0A" w:rsidRDefault="009A12E9" w:rsidP="009E74BB">
            <w:pPr>
              <w:keepNext/>
              <w:keepLines/>
              <w:rPr>
                <w:rFonts w:ascii="Marianne" w:hAnsi="Marianne"/>
                <w:b/>
                <w:sz w:val="18"/>
              </w:rPr>
            </w:pPr>
            <w:r w:rsidRPr="00542B0A">
              <w:rPr>
                <w:rFonts w:ascii="Marianne" w:hAnsi="Marianne"/>
                <w:b/>
                <w:sz w:val="18"/>
              </w:rPr>
              <w:t>Exercice massifié</w:t>
            </w:r>
          </w:p>
          <w:p w:rsidR="009A12E9" w:rsidRPr="00542B0A" w:rsidRDefault="009A12E9" w:rsidP="009E74BB">
            <w:pPr>
              <w:pStyle w:val="Paragraphedeliste"/>
              <w:keepNext/>
              <w:keepLines/>
              <w:numPr>
                <w:ilvl w:val="0"/>
                <w:numId w:val="1"/>
              </w:numPr>
              <w:ind w:left="470" w:hanging="357"/>
              <w:rPr>
                <w:rFonts w:ascii="Marianne" w:hAnsi="Marianne"/>
                <w:b/>
                <w:sz w:val="18"/>
              </w:rPr>
            </w:pPr>
            <w:r w:rsidRPr="00542B0A">
              <w:rPr>
                <w:rFonts w:ascii="Marianne" w:hAnsi="Marianne"/>
                <w:sz w:val="18"/>
              </w:rPr>
              <w:t>Pertinence / réalisme des injects proposées</w:t>
            </w:r>
          </w:p>
          <w:p w:rsidR="009A12E9" w:rsidRPr="00542B0A" w:rsidRDefault="009A12E9" w:rsidP="009E74BB">
            <w:pPr>
              <w:pStyle w:val="Paragraphedeliste"/>
              <w:keepNext/>
              <w:keepLines/>
              <w:numPr>
                <w:ilvl w:val="0"/>
                <w:numId w:val="1"/>
              </w:numPr>
              <w:ind w:left="470" w:hanging="357"/>
              <w:rPr>
                <w:rFonts w:ascii="Marianne" w:hAnsi="Marianne"/>
                <w:b/>
                <w:sz w:val="18"/>
              </w:rPr>
            </w:pPr>
            <w:r w:rsidRPr="00542B0A">
              <w:rPr>
                <w:rFonts w:ascii="Marianne" w:hAnsi="Marianne"/>
                <w:sz w:val="18"/>
              </w:rPr>
              <w:t>Rythme de la crise proposée</w:t>
            </w:r>
          </w:p>
          <w:p w:rsidR="009A12E9" w:rsidRPr="00542B0A" w:rsidRDefault="009A12E9" w:rsidP="009E74BB">
            <w:pPr>
              <w:pStyle w:val="Paragraphedeliste"/>
              <w:keepNext/>
              <w:keepLines/>
              <w:numPr>
                <w:ilvl w:val="0"/>
                <w:numId w:val="1"/>
              </w:numPr>
              <w:ind w:left="470" w:hanging="357"/>
              <w:rPr>
                <w:rFonts w:ascii="Marianne" w:hAnsi="Marianne"/>
                <w:b/>
                <w:sz w:val="18"/>
              </w:rPr>
            </w:pPr>
            <w:r w:rsidRPr="00542B0A">
              <w:rPr>
                <w:rFonts w:ascii="Marianne" w:hAnsi="Marianne"/>
                <w:sz w:val="18"/>
              </w:rPr>
              <w:t>Fonctionnalités d’exercices disponibles (automatisation, plateforme d’animation, pression médiatique, etc.)</w:t>
            </w:r>
          </w:p>
        </w:tc>
        <w:tc>
          <w:tcPr>
            <w:tcW w:w="3310" w:type="dxa"/>
            <w:vMerge w:val="restart"/>
            <w:tcBorders>
              <w:top w:val="single" w:sz="12" w:space="0" w:color="auto"/>
            </w:tcBorders>
          </w:tcPr>
          <w:p w:rsidR="009A12E9" w:rsidRPr="00542B0A" w:rsidRDefault="009A12E9" w:rsidP="009E74BB">
            <w:pPr>
              <w:pStyle w:val="Default"/>
              <w:keepNext/>
              <w:keepLines/>
              <w:rPr>
                <w:rFonts w:ascii="Marianne" w:hAnsi="Marianne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9A12E9" w:rsidRPr="00542B0A" w:rsidRDefault="009A12E9" w:rsidP="009E74BB">
            <w:pPr>
              <w:pStyle w:val="Default"/>
              <w:keepNext/>
              <w:keepLines/>
              <w:rPr>
                <w:rFonts w:ascii="Marianne" w:hAnsi="Marianne"/>
                <w:sz w:val="18"/>
                <w:szCs w:val="20"/>
              </w:rPr>
            </w:pPr>
            <w:r w:rsidRPr="00542B0A">
              <w:rPr>
                <w:rFonts w:ascii="Marianne" w:hAnsi="Marianne"/>
                <w:i/>
                <w:iCs/>
                <w:sz w:val="18"/>
                <w:szCs w:val="20"/>
              </w:rPr>
              <w:t>Evaluation de l’exercice (entre 1 –Très mauvaise et 5 – Excellente)</w:t>
            </w:r>
          </w:p>
        </w:tc>
        <w:tc>
          <w:tcPr>
            <w:tcW w:w="2384" w:type="dxa"/>
            <w:tcBorders>
              <w:top w:val="single" w:sz="12" w:space="0" w:color="auto"/>
            </w:tcBorders>
          </w:tcPr>
          <w:p w:rsidR="009A12E9" w:rsidRPr="00542B0A" w:rsidRDefault="009A12E9" w:rsidP="009E74BB">
            <w:pPr>
              <w:keepNext/>
              <w:keepLines/>
              <w:rPr>
                <w:rFonts w:ascii="Marianne" w:hAnsi="Marianne"/>
                <w:sz w:val="18"/>
              </w:rPr>
            </w:pPr>
          </w:p>
        </w:tc>
        <w:tc>
          <w:tcPr>
            <w:tcW w:w="32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9A12E9" w:rsidRPr="00542B0A" w:rsidRDefault="009A12E9" w:rsidP="009E74BB">
            <w:pPr>
              <w:keepNext/>
              <w:keepLines/>
              <w:rPr>
                <w:rFonts w:ascii="Marianne" w:hAnsi="Marianne"/>
                <w:sz w:val="18"/>
              </w:rPr>
            </w:pPr>
          </w:p>
        </w:tc>
      </w:tr>
      <w:tr w:rsidR="009A12E9" w:rsidRPr="00542B0A" w:rsidTr="009A12E9">
        <w:trPr>
          <w:trHeight w:val="646"/>
        </w:trPr>
        <w:tc>
          <w:tcPr>
            <w:tcW w:w="2487" w:type="dxa"/>
            <w:vMerge/>
            <w:tcBorders>
              <w:left w:val="single" w:sz="12" w:space="0" w:color="auto"/>
            </w:tcBorders>
            <w:shd w:val="clear" w:color="auto" w:fill="B8ABC5"/>
            <w:vAlign w:val="center"/>
          </w:tcPr>
          <w:p w:rsidR="009A12E9" w:rsidRPr="00542B0A" w:rsidRDefault="009A12E9" w:rsidP="009E74BB">
            <w:pPr>
              <w:keepNext/>
              <w:keepLines/>
              <w:rPr>
                <w:rFonts w:ascii="Marianne" w:hAnsi="Marianne"/>
                <w:b/>
                <w:sz w:val="18"/>
              </w:rPr>
            </w:pPr>
          </w:p>
        </w:tc>
        <w:tc>
          <w:tcPr>
            <w:tcW w:w="3310" w:type="dxa"/>
            <w:vMerge/>
          </w:tcPr>
          <w:p w:rsidR="009A12E9" w:rsidRPr="00542B0A" w:rsidRDefault="009A12E9" w:rsidP="009E74BB">
            <w:pPr>
              <w:pStyle w:val="Default"/>
              <w:keepNext/>
              <w:keepLines/>
              <w:rPr>
                <w:rFonts w:ascii="Marianne" w:hAnsi="Marianne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</w:tcPr>
          <w:p w:rsidR="009A12E9" w:rsidRPr="00542B0A" w:rsidRDefault="009A12E9" w:rsidP="009E74BB">
            <w:pPr>
              <w:pStyle w:val="Default"/>
              <w:keepNext/>
              <w:keepLines/>
              <w:rPr>
                <w:rFonts w:ascii="Marianne" w:hAnsi="Marianne"/>
                <w:sz w:val="18"/>
              </w:rPr>
            </w:pPr>
            <w:r w:rsidRPr="00542B0A">
              <w:rPr>
                <w:rFonts w:ascii="Marianne" w:hAnsi="Marianne"/>
                <w:i/>
                <w:iCs/>
                <w:sz w:val="18"/>
                <w:szCs w:val="20"/>
              </w:rPr>
              <w:t>Eléments de réussite de l’exercice</w:t>
            </w:r>
          </w:p>
        </w:tc>
        <w:tc>
          <w:tcPr>
            <w:tcW w:w="2384" w:type="dxa"/>
          </w:tcPr>
          <w:p w:rsidR="009A12E9" w:rsidRPr="00542B0A" w:rsidRDefault="009A12E9" w:rsidP="009E74BB">
            <w:pPr>
              <w:keepNext/>
              <w:keepLines/>
              <w:rPr>
                <w:rFonts w:ascii="Marianne" w:hAnsi="Marianne"/>
                <w:sz w:val="18"/>
              </w:rPr>
            </w:pPr>
          </w:p>
        </w:tc>
        <w:tc>
          <w:tcPr>
            <w:tcW w:w="3241" w:type="dxa"/>
            <w:tcBorders>
              <w:right w:val="single" w:sz="12" w:space="0" w:color="auto"/>
            </w:tcBorders>
          </w:tcPr>
          <w:p w:rsidR="009A12E9" w:rsidRPr="00542B0A" w:rsidRDefault="009A12E9" w:rsidP="009E74BB">
            <w:pPr>
              <w:keepNext/>
              <w:keepLines/>
              <w:rPr>
                <w:rFonts w:ascii="Marianne" w:hAnsi="Marianne"/>
                <w:sz w:val="18"/>
              </w:rPr>
            </w:pPr>
          </w:p>
        </w:tc>
      </w:tr>
      <w:tr w:rsidR="009A12E9" w:rsidRPr="00542B0A" w:rsidTr="009A12E9">
        <w:trPr>
          <w:trHeight w:val="645"/>
        </w:trPr>
        <w:tc>
          <w:tcPr>
            <w:tcW w:w="2487" w:type="dxa"/>
            <w:vMerge/>
            <w:tcBorders>
              <w:left w:val="single" w:sz="12" w:space="0" w:color="auto"/>
            </w:tcBorders>
            <w:shd w:val="clear" w:color="auto" w:fill="B8ABC5"/>
            <w:vAlign w:val="center"/>
          </w:tcPr>
          <w:p w:rsidR="009A12E9" w:rsidRPr="00542B0A" w:rsidRDefault="009A12E9" w:rsidP="009E74BB">
            <w:pPr>
              <w:keepNext/>
              <w:keepLines/>
              <w:rPr>
                <w:rFonts w:ascii="Marianne" w:hAnsi="Marianne"/>
                <w:b/>
                <w:sz w:val="18"/>
              </w:rPr>
            </w:pPr>
          </w:p>
        </w:tc>
        <w:tc>
          <w:tcPr>
            <w:tcW w:w="3310" w:type="dxa"/>
            <w:vMerge/>
          </w:tcPr>
          <w:p w:rsidR="009A12E9" w:rsidRPr="00542B0A" w:rsidRDefault="009A12E9" w:rsidP="009E74BB">
            <w:pPr>
              <w:pStyle w:val="Default"/>
              <w:keepNext/>
              <w:keepLines/>
              <w:rPr>
                <w:rFonts w:ascii="Marianne" w:hAnsi="Marianne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</w:tcPr>
          <w:p w:rsidR="009A12E9" w:rsidRPr="00542B0A" w:rsidRDefault="009A12E9" w:rsidP="009E74BB">
            <w:pPr>
              <w:pStyle w:val="Default"/>
              <w:keepNext/>
              <w:keepLines/>
              <w:rPr>
                <w:rFonts w:ascii="Marianne" w:hAnsi="Marianne"/>
                <w:sz w:val="18"/>
              </w:rPr>
            </w:pPr>
            <w:r w:rsidRPr="00542B0A">
              <w:rPr>
                <w:rFonts w:ascii="Marianne" w:hAnsi="Marianne"/>
                <w:i/>
                <w:iCs/>
                <w:sz w:val="18"/>
                <w:szCs w:val="20"/>
              </w:rPr>
              <w:t>Points d’amélioration de l’exercice</w:t>
            </w:r>
          </w:p>
        </w:tc>
        <w:tc>
          <w:tcPr>
            <w:tcW w:w="2384" w:type="dxa"/>
          </w:tcPr>
          <w:p w:rsidR="009A12E9" w:rsidRPr="00542B0A" w:rsidRDefault="009A12E9" w:rsidP="009E74BB">
            <w:pPr>
              <w:keepNext/>
              <w:keepLines/>
              <w:rPr>
                <w:rFonts w:ascii="Marianne" w:hAnsi="Marianne"/>
                <w:sz w:val="18"/>
              </w:rPr>
            </w:pPr>
          </w:p>
        </w:tc>
        <w:tc>
          <w:tcPr>
            <w:tcW w:w="3241" w:type="dxa"/>
            <w:tcBorders>
              <w:right w:val="single" w:sz="12" w:space="0" w:color="auto"/>
            </w:tcBorders>
          </w:tcPr>
          <w:p w:rsidR="009A12E9" w:rsidRPr="00542B0A" w:rsidRDefault="009A12E9" w:rsidP="009E74BB">
            <w:pPr>
              <w:keepNext/>
              <w:keepLines/>
              <w:rPr>
                <w:rFonts w:ascii="Marianne" w:hAnsi="Marianne"/>
                <w:sz w:val="18"/>
              </w:rPr>
            </w:pPr>
          </w:p>
        </w:tc>
      </w:tr>
      <w:tr w:rsidR="009A12E9" w:rsidRPr="00542B0A" w:rsidTr="009A12E9">
        <w:trPr>
          <w:trHeight w:val="646"/>
        </w:trPr>
        <w:tc>
          <w:tcPr>
            <w:tcW w:w="248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8ABC5"/>
            <w:vAlign w:val="center"/>
          </w:tcPr>
          <w:p w:rsidR="009A12E9" w:rsidRPr="00542B0A" w:rsidRDefault="009A12E9" w:rsidP="009E74BB">
            <w:pPr>
              <w:keepNext/>
              <w:keepLines/>
              <w:rPr>
                <w:rFonts w:ascii="Marianne" w:hAnsi="Marianne"/>
                <w:b/>
                <w:sz w:val="18"/>
              </w:rPr>
            </w:pPr>
          </w:p>
        </w:tc>
        <w:tc>
          <w:tcPr>
            <w:tcW w:w="3310" w:type="dxa"/>
            <w:vMerge/>
            <w:tcBorders>
              <w:bottom w:val="single" w:sz="12" w:space="0" w:color="auto"/>
            </w:tcBorders>
          </w:tcPr>
          <w:p w:rsidR="009A12E9" w:rsidRPr="00542B0A" w:rsidRDefault="009A12E9" w:rsidP="009E74BB">
            <w:pPr>
              <w:pStyle w:val="Default"/>
              <w:keepNext/>
              <w:keepLines/>
              <w:rPr>
                <w:rFonts w:ascii="Marianne" w:hAnsi="Marianne"/>
                <w:i/>
                <w:iCs/>
                <w:sz w:val="18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9A12E9" w:rsidRPr="00542B0A" w:rsidRDefault="009A12E9" w:rsidP="009E74BB">
            <w:pPr>
              <w:pStyle w:val="Default"/>
              <w:keepNext/>
              <w:keepLines/>
              <w:rPr>
                <w:rFonts w:ascii="Marianne" w:hAnsi="Marianne"/>
                <w:sz w:val="18"/>
                <w:szCs w:val="20"/>
              </w:rPr>
            </w:pPr>
            <w:r w:rsidRPr="00542B0A">
              <w:rPr>
                <w:rFonts w:ascii="Marianne" w:hAnsi="Marianne"/>
                <w:i/>
                <w:iCs/>
                <w:sz w:val="18"/>
                <w:szCs w:val="20"/>
              </w:rPr>
              <w:t>Commentaires libres</w:t>
            </w:r>
          </w:p>
        </w:tc>
        <w:tc>
          <w:tcPr>
            <w:tcW w:w="562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A12E9" w:rsidRPr="00542B0A" w:rsidRDefault="009A12E9" w:rsidP="009E74BB">
            <w:pPr>
              <w:keepNext/>
              <w:keepLines/>
              <w:rPr>
                <w:rFonts w:ascii="Marianne" w:hAnsi="Marianne"/>
                <w:sz w:val="18"/>
              </w:rPr>
            </w:pPr>
          </w:p>
        </w:tc>
      </w:tr>
      <w:bookmarkEnd w:id="0"/>
    </w:tbl>
    <w:p w:rsidR="00B31423" w:rsidRPr="00542B0A" w:rsidRDefault="00542B0A">
      <w:pPr>
        <w:rPr>
          <w:rFonts w:ascii="Marianne" w:hAnsi="Marianne"/>
        </w:rPr>
      </w:pPr>
    </w:p>
    <w:sectPr w:rsidR="00B31423" w:rsidRPr="00542B0A" w:rsidSect="004D422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B0A" w:rsidRDefault="00542B0A" w:rsidP="00542B0A">
      <w:pPr>
        <w:spacing w:after="0" w:line="240" w:lineRule="auto"/>
      </w:pPr>
      <w:r>
        <w:separator/>
      </w:r>
    </w:p>
  </w:endnote>
  <w:endnote w:type="continuationSeparator" w:id="0">
    <w:p w:rsidR="00542B0A" w:rsidRDefault="00542B0A" w:rsidP="0054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5584240"/>
      <w:docPartObj>
        <w:docPartGallery w:val="Page Numbers (Bottom of Page)"/>
        <w:docPartUnique/>
      </w:docPartObj>
    </w:sdtPr>
    <w:sdtContent>
      <w:p w:rsidR="00542B0A" w:rsidRDefault="00542B0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42B0A" w:rsidRDefault="00542B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B0A" w:rsidRDefault="00542B0A" w:rsidP="00542B0A">
      <w:pPr>
        <w:spacing w:after="0" w:line="240" w:lineRule="auto"/>
      </w:pPr>
      <w:r>
        <w:separator/>
      </w:r>
    </w:p>
  </w:footnote>
  <w:footnote w:type="continuationSeparator" w:id="0">
    <w:p w:rsidR="00542B0A" w:rsidRDefault="00542B0A" w:rsidP="00542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B0A" w:rsidRPr="00542B0A" w:rsidRDefault="00542B0A" w:rsidP="00542B0A">
    <w:pPr>
      <w:pStyle w:val="En-tte"/>
      <w:jc w:val="center"/>
      <w:rPr>
        <w:b/>
        <w:sz w:val="28"/>
      </w:rPr>
    </w:pPr>
    <w:r w:rsidRPr="00542B0A">
      <w:rPr>
        <w:b/>
        <w:sz w:val="28"/>
      </w:rPr>
      <w:drawing>
        <wp:anchor distT="0" distB="0" distL="114300" distR="114300" simplePos="0" relativeHeight="251658240" behindDoc="1" locked="0" layoutInCell="1" allowOverlap="1" wp14:anchorId="5187924C">
          <wp:simplePos x="0" y="0"/>
          <wp:positionH relativeFrom="margin">
            <wp:align>left</wp:align>
          </wp:positionH>
          <wp:positionV relativeFrom="paragraph">
            <wp:posOffset>-249555</wp:posOffset>
          </wp:positionV>
          <wp:extent cx="457200" cy="522605"/>
          <wp:effectExtent l="0" t="0" r="0" b="0"/>
          <wp:wrapNone/>
          <wp:docPr id="36" name="Image 35">
            <a:extLst xmlns:a="http://schemas.openxmlformats.org/drawingml/2006/main">
              <a:ext uri="{FF2B5EF4-FFF2-40B4-BE49-F238E27FC236}">
                <a16:creationId xmlns:a16="http://schemas.microsoft.com/office/drawing/2014/main" id="{98383F3C-36BE-4B63-B8D8-4FCA01D459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5">
                    <a:extLst>
                      <a:ext uri="{FF2B5EF4-FFF2-40B4-BE49-F238E27FC236}">
                        <a16:creationId xmlns:a16="http://schemas.microsoft.com/office/drawing/2014/main" id="{98383F3C-36BE-4B63-B8D8-4FCA01D459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42B0A">
      <w:rPr>
        <w:b/>
        <w:sz w:val="28"/>
      </w:rPr>
      <w:t>REMPAR22 – fiche d’observation</w:t>
    </w:r>
    <w:r>
      <w:rPr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80052"/>
    <w:multiLevelType w:val="hybridMultilevel"/>
    <w:tmpl w:val="F208E02C"/>
    <w:lvl w:ilvl="0" w:tplc="8E18D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20"/>
    <w:rsid w:val="00495D18"/>
    <w:rsid w:val="004D4220"/>
    <w:rsid w:val="00542B0A"/>
    <w:rsid w:val="00562EBB"/>
    <w:rsid w:val="00597D64"/>
    <w:rsid w:val="005E28EB"/>
    <w:rsid w:val="006D165D"/>
    <w:rsid w:val="0082566D"/>
    <w:rsid w:val="009A0146"/>
    <w:rsid w:val="009A12E9"/>
    <w:rsid w:val="009A55CF"/>
    <w:rsid w:val="009E74BB"/>
    <w:rsid w:val="00B16CEA"/>
    <w:rsid w:val="00D8106E"/>
    <w:rsid w:val="00EB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12A56"/>
  <w15:chartTrackingRefBased/>
  <w15:docId w15:val="{4A2E40A8-7FD1-4A3A-AD7F-B9F75B88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42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A55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2B0A"/>
  </w:style>
  <w:style w:type="paragraph" w:styleId="Pieddepage">
    <w:name w:val="footer"/>
    <w:basedOn w:val="Normal"/>
    <w:link w:val="PieddepageCar"/>
    <w:uiPriority w:val="99"/>
    <w:unhideWhenUsed/>
    <w:rsid w:val="0054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2621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SGDSN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2022-12-05T14:39:00Z</dcterms:created>
  <dcterms:modified xsi:type="dcterms:W3CDTF">2022-12-05T14:39:00Z</dcterms:modified>
</cp:coreProperties>
</file>